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7184" w:rsidRPr="005B3BA7" w:rsidRDefault="009A2BAA" w:rsidP="005B3BA7">
      <w:pPr>
        <w:spacing w:after="60"/>
        <w:ind w:left="284"/>
        <w:jc w:val="center"/>
        <w:rPr>
          <w:rFonts w:ascii="Cambria" w:hAnsi="Cambria"/>
          <w:b/>
          <w:bCs/>
          <w:lang w:val="pt-BR"/>
        </w:rPr>
      </w:pPr>
      <w:bookmarkStart w:id="0" w:name="_heading=h.gjdgxs" w:colFirst="0" w:colLast="0"/>
      <w:bookmarkEnd w:id="0"/>
      <w:r w:rsidRPr="005B3BA7">
        <w:rPr>
          <w:rFonts w:ascii="Cambria" w:hAnsi="Cambria"/>
          <w:b/>
          <w:bCs/>
          <w:lang w:val="pt-BR"/>
        </w:rPr>
        <w:t>As Têmporas do Advento</w:t>
      </w:r>
    </w:p>
    <w:p w:rsidR="00097184" w:rsidRPr="005B3BA7" w:rsidRDefault="009A2BAA" w:rsidP="005B3BA7">
      <w:pPr>
        <w:spacing w:after="60"/>
        <w:ind w:left="284"/>
        <w:jc w:val="center"/>
        <w:rPr>
          <w:rFonts w:ascii="Cambria" w:hAnsi="Cambria"/>
          <w:lang w:val="pt-BR"/>
        </w:rPr>
      </w:pPr>
      <w:r w:rsidRPr="005B3BA7">
        <w:rPr>
          <w:rFonts w:ascii="Cambria" w:hAnsi="Cambria"/>
          <w:lang w:val="pt-BR"/>
        </w:rPr>
        <w:t>(</w:t>
      </w:r>
      <w:proofErr w:type="spellStart"/>
      <w:r w:rsidRPr="005B3BA7">
        <w:rPr>
          <w:rFonts w:ascii="Cambria" w:hAnsi="Cambria"/>
          <w:lang w:val="pt-BR"/>
        </w:rPr>
        <w:t>Prosper</w:t>
      </w:r>
      <w:proofErr w:type="spellEnd"/>
      <w:r w:rsidRPr="005B3BA7">
        <w:rPr>
          <w:rFonts w:ascii="Cambria" w:hAnsi="Cambria"/>
          <w:lang w:val="pt-BR"/>
        </w:rPr>
        <w:t xml:space="preserve"> </w:t>
      </w:r>
      <w:proofErr w:type="spellStart"/>
      <w:r w:rsidRPr="005B3BA7">
        <w:rPr>
          <w:rFonts w:ascii="Cambria" w:hAnsi="Cambria"/>
          <w:lang w:val="pt-BR"/>
        </w:rPr>
        <w:t>Guéranger</w:t>
      </w:r>
      <w:proofErr w:type="spellEnd"/>
      <w:r w:rsidRPr="005B3BA7">
        <w:rPr>
          <w:rFonts w:ascii="Cambria" w:hAnsi="Cambria"/>
          <w:lang w:val="pt-BR"/>
        </w:rPr>
        <w:t xml:space="preserve">, </w:t>
      </w:r>
      <w:proofErr w:type="spellStart"/>
      <w:r w:rsidRPr="005B3BA7">
        <w:rPr>
          <w:rFonts w:ascii="Cambria" w:hAnsi="Cambria"/>
          <w:i/>
          <w:lang w:val="pt-BR"/>
        </w:rPr>
        <w:t>Année</w:t>
      </w:r>
      <w:proofErr w:type="spellEnd"/>
      <w:r w:rsidRPr="005B3BA7">
        <w:rPr>
          <w:rFonts w:ascii="Cambria" w:hAnsi="Cambria"/>
          <w:i/>
          <w:lang w:val="pt-BR"/>
        </w:rPr>
        <w:t xml:space="preserve"> </w:t>
      </w:r>
      <w:proofErr w:type="spellStart"/>
      <w:proofErr w:type="gramStart"/>
      <w:r w:rsidRPr="005B3BA7">
        <w:rPr>
          <w:rFonts w:ascii="Cambria" w:hAnsi="Cambria"/>
          <w:i/>
          <w:lang w:val="pt-BR"/>
        </w:rPr>
        <w:t>liturgique</w:t>
      </w:r>
      <w:proofErr w:type="spellEnd"/>
      <w:r w:rsidRPr="005B3BA7">
        <w:rPr>
          <w:rFonts w:ascii="Cambria" w:hAnsi="Cambria"/>
          <w:i/>
          <w:lang w:val="pt-BR"/>
        </w:rPr>
        <w:t xml:space="preserve"> :</w:t>
      </w:r>
      <w:proofErr w:type="gramEnd"/>
      <w:r w:rsidRPr="005B3BA7">
        <w:rPr>
          <w:rFonts w:ascii="Cambria" w:hAnsi="Cambria"/>
          <w:i/>
          <w:lang w:val="pt-BR"/>
        </w:rPr>
        <w:t xml:space="preserve"> </w:t>
      </w:r>
      <w:proofErr w:type="spellStart"/>
      <w:r w:rsidRPr="005B3BA7">
        <w:rPr>
          <w:rFonts w:ascii="Cambria" w:hAnsi="Cambria"/>
          <w:i/>
          <w:lang w:val="pt-BR"/>
        </w:rPr>
        <w:t>l’Avent</w:t>
      </w:r>
      <w:proofErr w:type="spellEnd"/>
      <w:r w:rsidRPr="005B3BA7">
        <w:rPr>
          <w:rFonts w:ascii="Cambria" w:hAnsi="Cambria"/>
          <w:i/>
          <w:lang w:val="pt-BR"/>
        </w:rPr>
        <w:t xml:space="preserve">, </w:t>
      </w:r>
      <w:proofErr w:type="spellStart"/>
      <w:r w:rsidRPr="005B3BA7">
        <w:rPr>
          <w:rFonts w:ascii="Cambria" w:hAnsi="Cambria"/>
          <w:i/>
          <w:lang w:val="pt-BR"/>
        </w:rPr>
        <w:t>propre</w:t>
      </w:r>
      <w:proofErr w:type="spellEnd"/>
      <w:r w:rsidRPr="005B3BA7">
        <w:rPr>
          <w:rFonts w:ascii="Cambria" w:hAnsi="Cambria"/>
          <w:i/>
          <w:lang w:val="pt-BR"/>
        </w:rPr>
        <w:t xml:space="preserve"> </w:t>
      </w:r>
      <w:proofErr w:type="spellStart"/>
      <w:r w:rsidRPr="005B3BA7">
        <w:rPr>
          <w:rFonts w:ascii="Cambria" w:hAnsi="Cambria"/>
          <w:i/>
          <w:lang w:val="pt-BR"/>
        </w:rPr>
        <w:t>du</w:t>
      </w:r>
      <w:proofErr w:type="spellEnd"/>
      <w:r w:rsidRPr="005B3BA7">
        <w:rPr>
          <w:rFonts w:ascii="Cambria" w:hAnsi="Cambria"/>
          <w:i/>
          <w:lang w:val="pt-BR"/>
        </w:rPr>
        <w:t xml:space="preserve"> </w:t>
      </w:r>
      <w:proofErr w:type="spellStart"/>
      <w:r w:rsidRPr="005B3BA7">
        <w:rPr>
          <w:rFonts w:ascii="Cambria" w:hAnsi="Cambria"/>
          <w:i/>
          <w:lang w:val="pt-BR"/>
        </w:rPr>
        <w:t>temps</w:t>
      </w:r>
      <w:proofErr w:type="spellEnd"/>
      <w:r w:rsidRPr="005B3BA7">
        <w:rPr>
          <w:rFonts w:ascii="Cambria" w:hAnsi="Cambria"/>
          <w:lang w:val="pt-BR"/>
        </w:rPr>
        <w:t>.)</w:t>
      </w:r>
    </w:p>
    <w:p w:rsidR="00097184" w:rsidRPr="005B3BA7" w:rsidRDefault="00097184" w:rsidP="005B3BA7">
      <w:pPr>
        <w:spacing w:after="60"/>
        <w:ind w:left="284"/>
        <w:jc w:val="both"/>
        <w:rPr>
          <w:rFonts w:ascii="Cambria" w:hAnsi="Cambria"/>
          <w:lang w:val="pt-BR"/>
        </w:rPr>
      </w:pPr>
    </w:p>
    <w:p w:rsidR="005B3BA7" w:rsidRDefault="005B3BA7" w:rsidP="005B3BA7">
      <w:pPr>
        <w:spacing w:after="60"/>
        <w:ind w:left="284"/>
        <w:jc w:val="both"/>
        <w:rPr>
          <w:rFonts w:ascii="Cambria" w:hAnsi="Cambria"/>
          <w:lang w:val="pt-BR"/>
        </w:rPr>
        <w:sectPr w:rsidR="005B3BA7" w:rsidSect="005B3BA7">
          <w:pgSz w:w="11900" w:h="16840"/>
          <w:pgMar w:top="720" w:right="720" w:bottom="720" w:left="720" w:header="708" w:footer="708" w:gutter="0"/>
          <w:pgNumType w:start="1"/>
          <w:cols w:space="720"/>
          <w:docGrid w:linePitch="326"/>
        </w:sectPr>
      </w:pPr>
      <w:bookmarkStart w:id="1" w:name="_GoBack"/>
      <w:bookmarkEnd w:id="1"/>
    </w:p>
    <w:p w:rsidR="005B3BA7" w:rsidRPr="005B3BA7" w:rsidRDefault="005B3BA7" w:rsidP="005B3BA7">
      <w:pPr>
        <w:spacing w:after="60"/>
        <w:ind w:left="284"/>
        <w:jc w:val="both"/>
        <w:rPr>
          <w:rFonts w:ascii="Cambria" w:hAnsi="Cambria"/>
          <w:lang w:val="pt-BR"/>
        </w:rPr>
      </w:pPr>
      <w:r w:rsidRPr="005B3BA7">
        <w:rPr>
          <w:rFonts w:ascii="Cambria" w:hAnsi="Cambria"/>
          <w:lang w:val="pt-BR"/>
        </w:rPr>
        <w:t>Neste dia, a Igreja começa a praticar o jejum das Quatro Têmporas, que também inclui a sexta-feira e o sábado seguintes. Essa prática não pertence adequadamente à economia litúrgica do Advento: ela é uma das instituições gerais do ano eclesiástico. Pode ser catalogada no número de costumes que a Igreja imitou da sinagoga, porque o profeta Zacarias fala do jejum do quarto, quinto, sétimo e décimo meses. A introdução desse costume na Igreja cristã parece remontar aos tempos apostólicos; tal é, pelo menos, a opinião de São Leão Magno, Santo Isidoro de Sevilha, Rábano Mauro e muitos outros escritores da antiguidade cristã: no entanto, chama a atenção o fato de os orientais não observarem este jejum.</w:t>
      </w:r>
    </w:p>
    <w:p w:rsidR="005B3BA7" w:rsidRPr="005B3BA7" w:rsidRDefault="005B3BA7" w:rsidP="005B3BA7">
      <w:pPr>
        <w:spacing w:after="60"/>
        <w:ind w:left="284"/>
        <w:jc w:val="both"/>
        <w:rPr>
          <w:rFonts w:ascii="Cambria" w:hAnsi="Cambria"/>
          <w:lang w:val="pt-BR"/>
        </w:rPr>
      </w:pPr>
      <w:r w:rsidRPr="005B3BA7">
        <w:rPr>
          <w:rFonts w:ascii="Cambria" w:hAnsi="Cambria"/>
          <w:lang w:val="pt-BR"/>
        </w:rPr>
        <w:t xml:space="preserve">Na Igreja Romana, as Quatro Têmporas foram fixadas, desde os primeiros séculos, nas mesmas datas em que ainda hoje são celebradas; e se é possível encontrar numerosos testemunhos dos tempos antigos, nos quais são mencionadas apenas Três Têmporas em vez de quatro, é porque as Têmporas da primavera, como sempre caem na primeira semana da Quaresma, não acrescentam nada às práticas da Santa Quaresma, já dedicada a um jejum mais rigoroso do que os praticados no restante do ano. </w:t>
      </w:r>
    </w:p>
    <w:p w:rsidR="005B3BA7" w:rsidRPr="005B3BA7" w:rsidRDefault="005B3BA7" w:rsidP="005B3BA7">
      <w:pPr>
        <w:spacing w:after="60"/>
        <w:ind w:left="284"/>
        <w:jc w:val="both"/>
        <w:rPr>
          <w:rFonts w:ascii="Cambria" w:hAnsi="Cambria"/>
          <w:lang w:val="pt-BR"/>
        </w:rPr>
      </w:pPr>
      <w:r w:rsidRPr="005B3BA7">
        <w:rPr>
          <w:rFonts w:ascii="Cambria" w:hAnsi="Cambria"/>
          <w:lang w:val="pt-BR"/>
        </w:rPr>
        <w:t xml:space="preserve">As intenções do jejum das Quatro Têmporas são as mesmas na Igreja e na Sinagoga, isto é, santificar cada uma das estações do ano através da penitência. As Têmporas do Advento são conhecidas na antiguidade eclesiástica com o nome de Jejum do décimo mês; e São Leão Magno (em um dos sermões que ele nos deixou sobre este jejum, do qual a Igreja colocou, aliás, um trecho no segundo Noturno do Terceiro Domingo do Advento) nos ensina que esse tempo foi escolhido para uma demonstração especial da penitência cristã porque, assim que a colheita dos frutos da terra termina, é conveniente que os cristãos mostrem sua gratidão ao Senhor através do sacrifício da abstinência, tornando-se assim mais dignos de se aproximarem de Deus, quanto mais souberem superar o apego às criaturas. “Porque — acrescenta o </w:t>
      </w:r>
      <w:r w:rsidRPr="005B3BA7">
        <w:rPr>
          <w:rFonts w:ascii="Cambria" w:hAnsi="Cambria"/>
          <w:lang w:val="pt-BR"/>
        </w:rPr>
        <w:t>Santo Doutor — o jejum sempre foi o alimento da virtude. É a fonte dos pensamentos castos, das resoluções prudentes, dos conselhos salutares. Pela mortificação voluntária, a carne morre aos desejos da concupiscência, o espírito se renova na virtude. Mas, já que o jejum sozinho não é suficiente para alcançar a salvação de nossas almas, suprimos o que lhe falta com obras de misericórdia para com os pobres. Concedemos à virtude o que tiramos do prazer; e a abstinência do que jejua serve como alimento para os pobres”.</w:t>
      </w:r>
    </w:p>
    <w:p w:rsidR="005B3BA7" w:rsidRPr="005B3BA7" w:rsidRDefault="005B3BA7" w:rsidP="005B3BA7">
      <w:pPr>
        <w:spacing w:after="60"/>
        <w:ind w:left="284"/>
        <w:jc w:val="both"/>
        <w:rPr>
          <w:rFonts w:ascii="Cambria" w:hAnsi="Cambria"/>
          <w:lang w:val="pt-BR"/>
        </w:rPr>
      </w:pPr>
      <w:r w:rsidRPr="005B3BA7">
        <w:rPr>
          <w:rFonts w:ascii="Cambria" w:hAnsi="Cambria"/>
          <w:lang w:val="pt-BR"/>
        </w:rPr>
        <w:t>Não nos esqueçamos destas exortações, já que somos filhos da Santa Igreja, e como vivemos em uma época em que o jejum do Advento não existe mais, observemos o preceito das Quatro Têmporas com muito mais fervor, já que esses três dias, juntamente com a Vigília de Natal, são os únicos em que a atual disciplina da Igreja</w:t>
      </w:r>
      <w:r w:rsidRPr="005B3BA7">
        <w:rPr>
          <w:rFonts w:ascii="Cambria" w:hAnsi="Cambria"/>
          <w:vertAlign w:val="superscript"/>
          <w:lang w:val="pt-BR"/>
        </w:rPr>
        <w:footnoteReference w:id="1"/>
      </w:r>
      <w:r w:rsidRPr="005B3BA7">
        <w:rPr>
          <w:rFonts w:ascii="Cambria" w:hAnsi="Cambria"/>
          <w:lang w:val="pt-BR"/>
        </w:rPr>
        <w:t xml:space="preserve"> nos obriga, de maneira precisa, a manter o jejum. Reanimemos em nós, com a ajuda dessas práticas, o zelo dos tempos antigos, tendo sempre em mente que, se a preparação interior é necessária antes de tudo para o Advento de Jesus Cristo a nossas almas, essa preparação não seria verdadeira em nós se não fosse manifestada externamente nas práticas de religião e penitência.</w:t>
      </w:r>
    </w:p>
    <w:p w:rsidR="00097184" w:rsidRPr="005B3BA7" w:rsidRDefault="005B3BA7" w:rsidP="005B3BA7">
      <w:pPr>
        <w:spacing w:after="60"/>
        <w:ind w:left="284"/>
        <w:jc w:val="both"/>
        <w:rPr>
          <w:rFonts w:ascii="Cambria" w:hAnsi="Cambria"/>
          <w:lang w:val="pt-BR"/>
        </w:rPr>
      </w:pPr>
      <w:r w:rsidRPr="005B3BA7">
        <w:rPr>
          <w:rFonts w:ascii="Cambria" w:hAnsi="Cambria"/>
          <w:lang w:val="pt-BR"/>
        </w:rPr>
        <w:t>O jejum das Quatro Têmporas tem outro objetivo além de santificar, por um ato de piedade, as várias estações do ano. Tem uma íntima relação com a Ordenação dos Ministros da Igreja, que são ordenados no sábado e cuja ordenação antigamente era anunciada ao povo na Missa da quarta-feira. Foram por muito tempo célebres, na Igreja Romana, as Ordenações do mês de dezembro; e o décimo mês era, pelo que se lê nas antigas Crônicas dos Papas, a única ocasião em que as Sagradas Ordens eram conferidas em Roma, com raras exceções. Os fiéis deviam unir-se às intenções da Igreja e apresentar a Deus a oferta de seus jejuns e abstinência, a fim de obter dignos ministros da Palavra e dos Sacramentos, e verdadeiros Pastores do povo cristão.</w:t>
      </w:r>
    </w:p>
    <w:sectPr w:rsidR="00097184" w:rsidRPr="005B3BA7" w:rsidSect="005B3BA7">
      <w:type w:val="continuous"/>
      <w:pgSz w:w="11900" w:h="16840"/>
      <w:pgMar w:top="720" w:right="720" w:bottom="720" w:left="720" w:header="708" w:footer="708" w:gutter="0"/>
      <w:pgNumType w:start="1"/>
      <w:cols w:num="2" w:sep="1" w:space="284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2BAA" w:rsidRDefault="009A2BAA">
      <w:r>
        <w:separator/>
      </w:r>
    </w:p>
  </w:endnote>
  <w:endnote w:type="continuationSeparator" w:id="0">
    <w:p w:rsidR="009A2BAA" w:rsidRDefault="009A2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2BAA" w:rsidRDefault="009A2BAA">
      <w:r>
        <w:separator/>
      </w:r>
    </w:p>
  </w:footnote>
  <w:footnote w:type="continuationSeparator" w:id="0">
    <w:p w:rsidR="009A2BAA" w:rsidRDefault="009A2BAA">
      <w:r>
        <w:continuationSeparator/>
      </w:r>
    </w:p>
  </w:footnote>
  <w:footnote w:id="1">
    <w:p w:rsidR="005B3BA7" w:rsidRDefault="005B3BA7" w:rsidP="005B3B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Código</w:t>
      </w:r>
      <w:proofErr w:type="spellEnd"/>
      <w:r>
        <w:rPr>
          <w:color w:val="000000"/>
          <w:sz w:val="20"/>
          <w:szCs w:val="20"/>
        </w:rPr>
        <w:t xml:space="preserve"> de 1917 – Can. 1252 §</w:t>
      </w:r>
      <w:proofErr w:type="gramStart"/>
      <w:r>
        <w:rPr>
          <w:color w:val="000000"/>
          <w:sz w:val="20"/>
          <w:szCs w:val="20"/>
        </w:rPr>
        <w:t>2:</w:t>
      </w:r>
      <w:proofErr w:type="gramEnd"/>
      <w:r>
        <w:rPr>
          <w:color w:val="000000"/>
          <w:sz w:val="20"/>
          <w:szCs w:val="20"/>
        </w:rPr>
        <w:t xml:space="preserve"> “</w:t>
      </w:r>
      <w:proofErr w:type="spellStart"/>
      <w:r>
        <w:rPr>
          <w:color w:val="000000"/>
          <w:sz w:val="20"/>
          <w:szCs w:val="20"/>
        </w:rPr>
        <w:t>Lex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abstinentiae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simul</w:t>
      </w:r>
      <w:proofErr w:type="spellEnd"/>
      <w:r>
        <w:rPr>
          <w:color w:val="000000"/>
          <w:sz w:val="20"/>
          <w:szCs w:val="20"/>
        </w:rPr>
        <w:t xml:space="preserve"> et </w:t>
      </w:r>
      <w:proofErr w:type="spellStart"/>
      <w:r>
        <w:rPr>
          <w:color w:val="000000"/>
          <w:sz w:val="20"/>
          <w:szCs w:val="20"/>
        </w:rPr>
        <w:t>ieiunii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servanda</w:t>
      </w:r>
      <w:proofErr w:type="spellEnd"/>
      <w:r>
        <w:rPr>
          <w:color w:val="000000"/>
          <w:sz w:val="20"/>
          <w:szCs w:val="20"/>
        </w:rPr>
        <w:t xml:space="preserve"> est [...] </w:t>
      </w:r>
      <w:proofErr w:type="spellStart"/>
      <w:r>
        <w:rPr>
          <w:color w:val="000000"/>
          <w:sz w:val="20"/>
          <w:szCs w:val="20"/>
        </w:rPr>
        <w:t>feriis</w:t>
      </w:r>
      <w:proofErr w:type="spellEnd"/>
      <w:r>
        <w:rPr>
          <w:color w:val="000000"/>
          <w:sz w:val="20"/>
          <w:szCs w:val="20"/>
        </w:rPr>
        <w:t xml:space="preserve"> Quatuor </w:t>
      </w:r>
      <w:proofErr w:type="spellStart"/>
      <w:r>
        <w:rPr>
          <w:color w:val="000000"/>
          <w:sz w:val="20"/>
          <w:szCs w:val="20"/>
        </w:rPr>
        <w:t>Temporum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pervigiliis</w:t>
      </w:r>
      <w:proofErr w:type="spellEnd"/>
      <w:r>
        <w:rPr>
          <w:color w:val="000000"/>
          <w:sz w:val="20"/>
          <w:szCs w:val="20"/>
        </w:rPr>
        <w:t xml:space="preserve"> [...] </w:t>
      </w:r>
      <w:proofErr w:type="spellStart"/>
      <w:r>
        <w:rPr>
          <w:color w:val="000000"/>
          <w:sz w:val="20"/>
          <w:szCs w:val="20"/>
        </w:rPr>
        <w:t>Nativitatis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Domini</w:t>
      </w:r>
      <w:proofErr w:type="spellEnd"/>
      <w:r>
        <w:rPr>
          <w:color w:val="000000"/>
          <w:sz w:val="20"/>
          <w:szCs w:val="20"/>
        </w:rPr>
        <w:t>”.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5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184"/>
    <w:rsid w:val="00097184"/>
    <w:rsid w:val="005B3BA7"/>
    <w:rsid w:val="009A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4B81C6"/>
  <w15:docId w15:val="{F1B82923-ECB6-DE44-8A3D-99D52EA88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fr-F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uiPriority w:val="39"/>
    <w:rsid w:val="009556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80CC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80CC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80CC0"/>
    <w:rPr>
      <w:vertAlign w:val="superscri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pF4aq7n3fckCl6XPvlmVZBfICg==">AMUW2mWnvsYF/SK/zXDHYycrkOp65EqywIDECm8uu7tGdFjZjrmfjIpqakRIaTM5cKK9yFW9FxMKXlgEScZ3UOKTIH9NfPPBuh3rgH/v119FcfyxPy+p9zSboBzpRf4wg++nwotnnfNL0AUheTX/j+NzrKXDoNnhawWLqzHOGU/Xkwy+iw9v4JjBSMeRGMMgOGGYEKyp4IrVc0XqZKd8udEVUFySeSpZS0VBLjpOCkD7x3KV/29cRZQ=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628</Words>
  <Characters>3392</Characters>
  <Application>Microsoft Office Word</Application>
  <DocSecurity>0</DocSecurity>
  <Lines>28</Lines>
  <Paragraphs>8</Paragraphs>
  <ScaleCrop>false</ScaleCrop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Ricardo de Azevedo Júnior</dc:creator>
  <cp:lastModifiedBy>Paulo Ricardo de Azevedo Júnior</cp:lastModifiedBy>
  <cp:revision>2</cp:revision>
  <cp:lastPrinted>2019-12-16T22:58:00Z</cp:lastPrinted>
  <dcterms:created xsi:type="dcterms:W3CDTF">2019-12-16T23:00:00Z</dcterms:created>
  <dcterms:modified xsi:type="dcterms:W3CDTF">2019-12-16T23:00:00Z</dcterms:modified>
</cp:coreProperties>
</file>