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DADC2" w14:textId="77777777" w:rsidR="00E02334" w:rsidRPr="00E02334" w:rsidRDefault="00E02334" w:rsidP="00E02334">
      <w:pPr>
        <w:pStyle w:val="NormalWeb"/>
        <w:jc w:val="both"/>
        <w:rPr>
          <w:rFonts w:ascii="Times New Roman" w:hAnsi="Times New Roman"/>
          <w:color w:val="000000"/>
          <w:sz w:val="27"/>
          <w:szCs w:val="27"/>
        </w:rPr>
      </w:pPr>
      <w:bookmarkStart w:id="0" w:name="2.10._O_celibato_sacerdotal"/>
      <w:r w:rsidRPr="00E02334">
        <w:rPr>
          <w:rStyle w:val="Strong"/>
          <w:rFonts w:ascii="Times New Roman" w:hAnsi="Times New Roman"/>
          <w:color w:val="000000"/>
          <w:sz w:val="27"/>
          <w:szCs w:val="27"/>
        </w:rPr>
        <w:t>2.10. O celibato sacerdotal</w:t>
      </w:r>
      <w:bookmarkEnd w:id="0"/>
    </w:p>
    <w:p w14:paraId="436FB37C" w14:textId="77777777" w:rsidR="00E02334" w:rsidRPr="00E02334" w:rsidRDefault="00E02334" w:rsidP="00E02334">
      <w:pPr>
        <w:pStyle w:val="NormalWeb"/>
        <w:jc w:val="both"/>
        <w:rPr>
          <w:rFonts w:ascii="Times New Roman" w:hAnsi="Times New Roman"/>
          <w:color w:val="000000"/>
          <w:sz w:val="27"/>
          <w:szCs w:val="27"/>
        </w:rPr>
      </w:pPr>
      <w:r w:rsidRPr="00E02334">
        <w:rPr>
          <w:rStyle w:val="Emphasis"/>
          <w:rFonts w:ascii="Times New Roman" w:hAnsi="Times New Roman"/>
          <w:color w:val="000000"/>
          <w:sz w:val="27"/>
          <w:szCs w:val="27"/>
        </w:rPr>
        <w:t>Firme vontade da Igreja</w:t>
      </w:r>
    </w:p>
    <w:p w14:paraId="2F4564E1" w14:textId="77777777" w:rsidR="00E02334" w:rsidRPr="00E02334" w:rsidRDefault="00E02334" w:rsidP="00E02334">
      <w:pPr>
        <w:pStyle w:val="NormalWeb"/>
        <w:jc w:val="both"/>
        <w:rPr>
          <w:rFonts w:ascii="Times New Roman" w:hAnsi="Times New Roman"/>
          <w:color w:val="000000"/>
          <w:sz w:val="27"/>
          <w:szCs w:val="27"/>
        </w:rPr>
      </w:pPr>
      <w:r w:rsidRPr="00E02334">
        <w:rPr>
          <w:rFonts w:ascii="Times New Roman" w:hAnsi="Times New Roman"/>
          <w:color w:val="000000"/>
          <w:sz w:val="27"/>
          <w:szCs w:val="27"/>
        </w:rPr>
        <w:t>79. Convencida das profundas motivações teológicas e pastorais que sustentam a relação entre celibato e sacerdócio e iluminada pelo testemunho que, não obstante casos dolorosos e negativos, ainda hoje confirma a sua validade espiritual e evangélica em tantas existências sacerdotais, a Igreja reafirmou no Concílio Vaticano II e repetidamente no sucessivo Magistério Pontifício a «firme vontade de manter a lei que exige o celibato livremente escolhido e perpétuo para os candidatos à ordenação sacerdotal no rito latino»</w:t>
      </w:r>
      <w:r w:rsidRPr="00E02334">
        <w:rPr>
          <w:rStyle w:val="FootnoteReference"/>
          <w:rFonts w:ascii="Times New Roman" w:hAnsi="Times New Roman"/>
          <w:color w:val="000000"/>
          <w:sz w:val="27"/>
          <w:szCs w:val="27"/>
        </w:rPr>
        <w:footnoteReference w:id="1"/>
      </w:r>
      <w:r w:rsidRPr="00E02334">
        <w:rPr>
          <w:rFonts w:ascii="Times New Roman" w:hAnsi="Times New Roman"/>
          <w:color w:val="000000"/>
          <w:sz w:val="27"/>
          <w:szCs w:val="27"/>
        </w:rPr>
        <w:t>.</w:t>
      </w:r>
    </w:p>
    <w:p w14:paraId="143BD47F" w14:textId="77777777" w:rsidR="00E02334" w:rsidRPr="00E02334" w:rsidRDefault="00E02334" w:rsidP="00E02334">
      <w:pPr>
        <w:pStyle w:val="NormalWeb"/>
        <w:jc w:val="both"/>
        <w:rPr>
          <w:rFonts w:ascii="Times New Roman" w:hAnsi="Times New Roman"/>
          <w:color w:val="000000"/>
          <w:sz w:val="27"/>
          <w:szCs w:val="27"/>
        </w:rPr>
      </w:pPr>
      <w:r w:rsidRPr="00E02334">
        <w:rPr>
          <w:rFonts w:ascii="Times New Roman" w:hAnsi="Times New Roman"/>
          <w:color w:val="000000"/>
          <w:sz w:val="27"/>
          <w:szCs w:val="27"/>
        </w:rPr>
        <w:t>O celibato, com efeito, é um dom jubiloso que a Igreja recebeu e quer guardar, convencida de que ele é um bem para ela e para o mundo.</w:t>
      </w:r>
    </w:p>
    <w:p w14:paraId="5653CDEC" w14:textId="77777777" w:rsidR="00E02334" w:rsidRPr="00E02334" w:rsidRDefault="00E02334" w:rsidP="00E02334">
      <w:pPr>
        <w:pStyle w:val="NormalWeb"/>
        <w:jc w:val="both"/>
        <w:rPr>
          <w:rFonts w:ascii="Times New Roman" w:hAnsi="Times New Roman"/>
          <w:color w:val="000000"/>
          <w:sz w:val="27"/>
          <w:szCs w:val="27"/>
        </w:rPr>
      </w:pPr>
      <w:r w:rsidRPr="00E02334">
        <w:rPr>
          <w:rStyle w:val="Emphasis"/>
          <w:rFonts w:ascii="Times New Roman" w:hAnsi="Times New Roman"/>
          <w:color w:val="000000"/>
          <w:sz w:val="27"/>
          <w:szCs w:val="27"/>
        </w:rPr>
        <w:t>Motivação teológico-espiritual do celibato</w:t>
      </w:r>
    </w:p>
    <w:p w14:paraId="680FC301" w14:textId="77777777" w:rsidR="00E02334" w:rsidRPr="00E02334" w:rsidRDefault="00E02334" w:rsidP="00E02334">
      <w:pPr>
        <w:pStyle w:val="NormalWeb"/>
        <w:jc w:val="both"/>
        <w:rPr>
          <w:rFonts w:ascii="Times New Roman" w:hAnsi="Times New Roman"/>
          <w:color w:val="000000"/>
          <w:sz w:val="27"/>
          <w:szCs w:val="27"/>
        </w:rPr>
      </w:pPr>
      <w:r w:rsidRPr="00E02334">
        <w:rPr>
          <w:rFonts w:ascii="Times New Roman" w:hAnsi="Times New Roman"/>
          <w:color w:val="000000"/>
          <w:sz w:val="27"/>
          <w:szCs w:val="27"/>
        </w:rPr>
        <w:t>80. Como todo valor evangélico, também o celibato consagrado deve ser vivido como dom da misericórdia, como novidade que liberta, como particular testemunho de radicalismo na sequela de Cristo e sinal da realidade escatológica: «o celibato é uma antecipação, tornada possível pela graça do Senhor, que nos “atrai” para Si rumo ao mundo da ressurreição; convida-nos sempre de novo a transcender-nos a nós mesmos, este presente, rumo ao verdadeiro presente do futuro, que hoje se torna presente»</w:t>
      </w:r>
      <w:r>
        <w:rPr>
          <w:rStyle w:val="FootnoteReference"/>
          <w:rFonts w:ascii="Times New Roman" w:hAnsi="Times New Roman"/>
          <w:color w:val="000000"/>
          <w:sz w:val="27"/>
          <w:szCs w:val="27"/>
        </w:rPr>
        <w:footnoteReference w:id="2"/>
      </w:r>
      <w:r w:rsidRPr="00E02334">
        <w:rPr>
          <w:rFonts w:ascii="Times New Roman" w:hAnsi="Times New Roman"/>
          <w:color w:val="000000"/>
          <w:sz w:val="27"/>
          <w:szCs w:val="27"/>
        </w:rPr>
        <w:t>.</w:t>
      </w:r>
    </w:p>
    <w:p w14:paraId="3FB8E943" w14:textId="77777777" w:rsidR="00E02334" w:rsidRPr="00E02334" w:rsidRDefault="00E02334" w:rsidP="00E02334">
      <w:pPr>
        <w:pStyle w:val="NormalWeb"/>
        <w:jc w:val="both"/>
        <w:rPr>
          <w:rFonts w:ascii="Times New Roman" w:hAnsi="Times New Roman"/>
          <w:color w:val="000000"/>
          <w:sz w:val="27"/>
          <w:szCs w:val="27"/>
        </w:rPr>
      </w:pPr>
      <w:r w:rsidRPr="00E02334">
        <w:rPr>
          <w:rFonts w:ascii="Times New Roman" w:hAnsi="Times New Roman"/>
          <w:color w:val="000000"/>
          <w:sz w:val="27"/>
          <w:szCs w:val="27"/>
        </w:rPr>
        <w:t>«Nem todos são capazes de compreender o sentido desta palavra, mas somente aqueles a quem foi dado. Porque há eunucos que o são desde o ventre de suas mães, há eunucos tornados tais pelas mãos dos homens e há eunucos que a si mesmos se fizeram eunucos por amor do Reino dos céus. Quem puder compreender, compreenda (</w:t>
      </w:r>
      <w:proofErr w:type="spellStart"/>
      <w:r w:rsidRPr="00E02334">
        <w:rPr>
          <w:rFonts w:ascii="Times New Roman" w:hAnsi="Times New Roman"/>
          <w:i/>
          <w:iCs/>
          <w:color w:val="000000"/>
          <w:sz w:val="27"/>
          <w:szCs w:val="27"/>
        </w:rPr>
        <w:t>Mt</w:t>
      </w:r>
      <w:proofErr w:type="spellEnd"/>
      <w:r>
        <w:rPr>
          <w:rStyle w:val="apple-converted-space"/>
          <w:rFonts w:ascii="Times New Roman" w:hAnsi="Times New Roman"/>
          <w:color w:val="000000"/>
          <w:sz w:val="27"/>
          <w:szCs w:val="27"/>
        </w:rPr>
        <w:t xml:space="preserve"> </w:t>
      </w:r>
      <w:r w:rsidRPr="00E02334">
        <w:rPr>
          <w:rFonts w:ascii="Times New Roman" w:hAnsi="Times New Roman"/>
          <w:color w:val="000000"/>
          <w:sz w:val="27"/>
          <w:szCs w:val="27"/>
        </w:rPr>
        <w:t>19,10-12)»</w:t>
      </w:r>
      <w:r>
        <w:rPr>
          <w:rStyle w:val="FootnoteReference"/>
          <w:rFonts w:ascii="Times New Roman" w:hAnsi="Times New Roman"/>
          <w:color w:val="000000"/>
          <w:sz w:val="27"/>
          <w:szCs w:val="27"/>
        </w:rPr>
        <w:footnoteReference w:id="3"/>
      </w:r>
      <w:r w:rsidRPr="00E02334">
        <w:rPr>
          <w:rFonts w:ascii="Times New Roman" w:hAnsi="Times New Roman"/>
          <w:color w:val="000000"/>
          <w:sz w:val="27"/>
          <w:szCs w:val="27"/>
        </w:rPr>
        <w:t>. O celibato se revela como uma correspondência de amor por parte de uma pessoa que, deixando «pai e mãe, segue Jesus Bom Pastor, numa comunhão apostólica ao serviço do Povo de Deus»</w:t>
      </w:r>
      <w:r>
        <w:rPr>
          <w:rStyle w:val="FootnoteReference"/>
          <w:rFonts w:ascii="Times New Roman" w:hAnsi="Times New Roman"/>
          <w:color w:val="000000"/>
          <w:sz w:val="27"/>
          <w:szCs w:val="27"/>
        </w:rPr>
        <w:footnoteReference w:id="4"/>
      </w:r>
      <w:r w:rsidRPr="00E02334">
        <w:rPr>
          <w:rFonts w:ascii="Times New Roman" w:hAnsi="Times New Roman"/>
          <w:color w:val="000000"/>
          <w:sz w:val="27"/>
          <w:szCs w:val="27"/>
        </w:rPr>
        <w:t>.</w:t>
      </w:r>
    </w:p>
    <w:p w14:paraId="33D97865" w14:textId="77777777" w:rsidR="00E02334" w:rsidRPr="00E02334" w:rsidRDefault="00E02334" w:rsidP="00E02334">
      <w:pPr>
        <w:pStyle w:val="NormalWeb"/>
        <w:jc w:val="both"/>
        <w:rPr>
          <w:rFonts w:ascii="Times New Roman" w:hAnsi="Times New Roman"/>
          <w:color w:val="000000"/>
          <w:sz w:val="27"/>
          <w:szCs w:val="27"/>
        </w:rPr>
      </w:pPr>
      <w:r w:rsidRPr="00E02334">
        <w:rPr>
          <w:rFonts w:ascii="Times New Roman" w:hAnsi="Times New Roman"/>
          <w:color w:val="000000"/>
          <w:sz w:val="27"/>
          <w:szCs w:val="27"/>
        </w:rPr>
        <w:t>Para viver o dom recebido com amor e generosidade, é particularmente importante que o sacerdote compreenda, desde o tempo da formação seminarística, a dimensão teológica e a motivação espiritual da disciplina eclesiástica sobre o celibato</w:t>
      </w:r>
      <w:r>
        <w:rPr>
          <w:rStyle w:val="FootnoteReference"/>
          <w:rFonts w:ascii="Times New Roman" w:hAnsi="Times New Roman"/>
          <w:color w:val="000000"/>
          <w:sz w:val="27"/>
          <w:szCs w:val="27"/>
        </w:rPr>
        <w:footnoteReference w:id="5"/>
      </w:r>
      <w:r w:rsidRPr="00E02334">
        <w:rPr>
          <w:rFonts w:ascii="Times New Roman" w:hAnsi="Times New Roman"/>
          <w:color w:val="000000"/>
          <w:sz w:val="27"/>
          <w:szCs w:val="27"/>
        </w:rPr>
        <w:t>. Este, como dom e carisma particular de Deus, requer a observância da castidade, portanto da continência perfeita e perpétua por amor do Reino dos céus, para que os ministros sagrados possam aderir mais facilmente a Cristo com coração indiviso e dedicar-se mais livremente ao serviço de Deus e dos homens</w:t>
      </w:r>
      <w:r>
        <w:rPr>
          <w:rStyle w:val="FootnoteReference"/>
          <w:rFonts w:ascii="Times New Roman" w:hAnsi="Times New Roman"/>
          <w:color w:val="000000"/>
          <w:sz w:val="27"/>
          <w:szCs w:val="27"/>
        </w:rPr>
        <w:footnoteReference w:id="6"/>
      </w:r>
      <w:r w:rsidRPr="00E02334">
        <w:rPr>
          <w:rFonts w:ascii="Times New Roman" w:hAnsi="Times New Roman"/>
          <w:color w:val="000000"/>
          <w:sz w:val="27"/>
          <w:szCs w:val="27"/>
        </w:rPr>
        <w:t>: «o celibato, elevando integralmente o homem, contribui efetivamente para a sua perfeição»</w:t>
      </w:r>
      <w:r>
        <w:rPr>
          <w:rStyle w:val="FootnoteReference"/>
          <w:rFonts w:ascii="Times New Roman" w:hAnsi="Times New Roman"/>
          <w:color w:val="000000"/>
          <w:sz w:val="27"/>
          <w:szCs w:val="27"/>
        </w:rPr>
        <w:footnoteReference w:id="7"/>
      </w:r>
      <w:r w:rsidRPr="00E02334">
        <w:rPr>
          <w:rFonts w:ascii="Times New Roman" w:hAnsi="Times New Roman"/>
          <w:color w:val="000000"/>
          <w:sz w:val="27"/>
          <w:szCs w:val="27"/>
        </w:rPr>
        <w:t xml:space="preserve">. A disciplina eclesiástica manifesta, antes da vontade do </w:t>
      </w:r>
      <w:r w:rsidRPr="00E02334">
        <w:rPr>
          <w:rFonts w:ascii="Times New Roman" w:hAnsi="Times New Roman"/>
          <w:color w:val="000000"/>
          <w:sz w:val="27"/>
          <w:szCs w:val="27"/>
        </w:rPr>
        <w:lastRenderedPageBreak/>
        <w:t>sujeito, expressa pela sua disponibilidade, a vontade da Igreja, e encontra a sua razão última no laço estreito que o celibato tem com a ordenação sagrada, que configura o sacerdote a Jesus Cristo Cabeça e Esposo da Igreja</w:t>
      </w:r>
      <w:r>
        <w:rPr>
          <w:rStyle w:val="FootnoteReference"/>
          <w:rFonts w:ascii="Times New Roman" w:hAnsi="Times New Roman"/>
          <w:color w:val="000000"/>
          <w:sz w:val="27"/>
          <w:szCs w:val="27"/>
        </w:rPr>
        <w:footnoteReference w:id="8"/>
      </w:r>
      <w:r w:rsidRPr="00E02334">
        <w:rPr>
          <w:rFonts w:ascii="Times New Roman" w:hAnsi="Times New Roman"/>
          <w:color w:val="000000"/>
          <w:sz w:val="27"/>
          <w:szCs w:val="27"/>
        </w:rPr>
        <w:t>.</w:t>
      </w:r>
    </w:p>
    <w:p w14:paraId="38EC985A" w14:textId="77777777" w:rsidR="00E02334" w:rsidRPr="00E02334" w:rsidRDefault="00E02334" w:rsidP="00E02334">
      <w:pPr>
        <w:pStyle w:val="NormalWeb"/>
        <w:jc w:val="both"/>
        <w:rPr>
          <w:rFonts w:ascii="Times New Roman" w:hAnsi="Times New Roman"/>
          <w:color w:val="000000"/>
          <w:sz w:val="27"/>
          <w:szCs w:val="27"/>
        </w:rPr>
      </w:pPr>
      <w:r w:rsidRPr="00E02334">
        <w:rPr>
          <w:rFonts w:ascii="Times New Roman" w:hAnsi="Times New Roman"/>
          <w:color w:val="000000"/>
          <w:sz w:val="27"/>
          <w:szCs w:val="27"/>
        </w:rPr>
        <w:t xml:space="preserve">A carta aos </w:t>
      </w:r>
      <w:r w:rsidRPr="00DA4D50">
        <w:rPr>
          <w:rFonts w:ascii="Times New Roman" w:hAnsi="Times New Roman"/>
          <w:i/>
          <w:color w:val="000000"/>
          <w:sz w:val="27"/>
          <w:szCs w:val="27"/>
        </w:rPr>
        <w:t>Efésios</w:t>
      </w:r>
      <w:r w:rsidRPr="00E02334">
        <w:rPr>
          <w:rFonts w:ascii="Times New Roman" w:hAnsi="Times New Roman"/>
          <w:color w:val="000000"/>
          <w:sz w:val="27"/>
          <w:szCs w:val="27"/>
        </w:rPr>
        <w:t xml:space="preserve"> (cf. 5,25) coloca em relação estreita a oblação sacerdotal de Cristo (cf. 5,25) com a santificação da Igreja (cf. 5,26), amada com amor esponsal. Inserido sacramentalmente neste sacerdócio de amor exclusivo de Cristo pela Igreja, sua Esposa fiel, o presbítero exprime com o seu empenho celibatário esse amor que se torna também fonte fecunda de eficácia pastoral.</w:t>
      </w:r>
    </w:p>
    <w:p w14:paraId="679D907B" w14:textId="77777777" w:rsidR="00E02334" w:rsidRPr="00E02334" w:rsidRDefault="00E02334" w:rsidP="00E02334">
      <w:pPr>
        <w:pStyle w:val="NormalWeb"/>
        <w:jc w:val="both"/>
        <w:rPr>
          <w:rFonts w:ascii="Times New Roman" w:hAnsi="Times New Roman"/>
          <w:color w:val="000000"/>
          <w:sz w:val="27"/>
          <w:szCs w:val="27"/>
        </w:rPr>
      </w:pPr>
      <w:r w:rsidRPr="00E02334">
        <w:rPr>
          <w:rFonts w:ascii="Times New Roman" w:hAnsi="Times New Roman"/>
          <w:color w:val="000000"/>
          <w:sz w:val="27"/>
          <w:szCs w:val="27"/>
        </w:rPr>
        <w:t>Portanto, o celibato não é um influxo que do exterior recai sobre o ministério sacerdotal, nem pode ser considerado simplesmente uma instituição imposta por lei, até porque, quem recebe o sacramento da Ordem, a isso se empenha com plena consciência e liberdade</w:t>
      </w:r>
      <w:r w:rsidR="00D4781F">
        <w:rPr>
          <w:rStyle w:val="FootnoteReference"/>
          <w:rFonts w:ascii="Times New Roman" w:hAnsi="Times New Roman"/>
          <w:color w:val="000000"/>
          <w:sz w:val="27"/>
          <w:szCs w:val="27"/>
        </w:rPr>
        <w:footnoteReference w:id="9"/>
      </w:r>
      <w:r w:rsidRPr="00E02334">
        <w:rPr>
          <w:rFonts w:ascii="Times New Roman" w:hAnsi="Times New Roman"/>
          <w:color w:val="000000"/>
          <w:sz w:val="27"/>
          <w:szCs w:val="27"/>
        </w:rPr>
        <w:t>, depois duma preparação de muitos anos, de profunda reflexão e de oração assídua. Juntamente com a firme convicção de que Cristo lhe concede este dom para o bem da Igreja e para o serviço dos outros, o sacerdote assume-o para toda a vida, reforçando esta sua vontade na promessa já feita durante o rito da ordenação diaconal</w:t>
      </w:r>
      <w:r w:rsidR="00D4781F">
        <w:rPr>
          <w:rStyle w:val="FootnoteReference"/>
          <w:rFonts w:ascii="Times New Roman" w:hAnsi="Times New Roman"/>
          <w:color w:val="000000"/>
          <w:sz w:val="27"/>
          <w:szCs w:val="27"/>
        </w:rPr>
        <w:footnoteReference w:id="10"/>
      </w:r>
      <w:r w:rsidRPr="00E02334">
        <w:rPr>
          <w:rFonts w:ascii="Times New Roman" w:hAnsi="Times New Roman"/>
          <w:color w:val="000000"/>
          <w:sz w:val="27"/>
          <w:szCs w:val="27"/>
        </w:rPr>
        <w:t>.</w:t>
      </w:r>
    </w:p>
    <w:p w14:paraId="22BCAC15" w14:textId="77777777" w:rsidR="00E02334" w:rsidRPr="00E02334" w:rsidRDefault="00E02334" w:rsidP="00E02334">
      <w:pPr>
        <w:pStyle w:val="NormalWeb"/>
        <w:jc w:val="both"/>
        <w:rPr>
          <w:rFonts w:ascii="Times New Roman" w:hAnsi="Times New Roman"/>
          <w:color w:val="000000"/>
          <w:sz w:val="27"/>
          <w:szCs w:val="27"/>
        </w:rPr>
      </w:pPr>
      <w:r w:rsidRPr="00E02334">
        <w:rPr>
          <w:rFonts w:ascii="Times New Roman" w:hAnsi="Times New Roman"/>
          <w:color w:val="000000"/>
          <w:sz w:val="27"/>
          <w:szCs w:val="27"/>
        </w:rPr>
        <w:t>Por estas razões, a lei eclesiástica, por um lado, confirma o carisma do celibato mostrando que ele está em íntima conexão com o ministério sagrado na sua dupla dimensão de relação com Cristo e com a Igreja, e, por outro, tutela a liberdade daquele que o assume</w:t>
      </w:r>
      <w:r w:rsidR="00D4781F">
        <w:rPr>
          <w:rStyle w:val="FootnoteReference"/>
          <w:rFonts w:ascii="Times New Roman" w:hAnsi="Times New Roman"/>
          <w:color w:val="000000"/>
          <w:sz w:val="27"/>
          <w:szCs w:val="27"/>
        </w:rPr>
        <w:footnoteReference w:id="11"/>
      </w:r>
      <w:r w:rsidRPr="00E02334">
        <w:rPr>
          <w:rFonts w:ascii="Times New Roman" w:hAnsi="Times New Roman"/>
          <w:color w:val="000000"/>
          <w:sz w:val="27"/>
          <w:szCs w:val="27"/>
        </w:rPr>
        <w:t>. Por isso, o presbítero, consagrado a Cristo com um novo e excelso título</w:t>
      </w:r>
      <w:r w:rsidR="00D4781F">
        <w:rPr>
          <w:rStyle w:val="FootnoteReference"/>
          <w:rFonts w:ascii="Times New Roman" w:hAnsi="Times New Roman"/>
          <w:color w:val="000000"/>
          <w:sz w:val="27"/>
          <w:szCs w:val="27"/>
        </w:rPr>
        <w:footnoteReference w:id="12"/>
      </w:r>
      <w:r w:rsidRPr="00E02334">
        <w:rPr>
          <w:rFonts w:ascii="Times New Roman" w:hAnsi="Times New Roman"/>
          <w:color w:val="000000"/>
          <w:sz w:val="27"/>
          <w:szCs w:val="27"/>
        </w:rPr>
        <w:t>, deve estar bem consciente de que recebeu um dom de Deus que, sancionado por um preciso vínculo jurídico, gera a obrigação moral da observância. Tal vínculo, livremente assumido, tem caráter teologal e moral, antes que jurídico, e é sinal daquela realidade esponsal que se atua na ordenação sacramental.</w:t>
      </w:r>
    </w:p>
    <w:p w14:paraId="3B225C99" w14:textId="77777777" w:rsidR="00E02334" w:rsidRPr="00E02334" w:rsidRDefault="00E02334" w:rsidP="00E02334">
      <w:pPr>
        <w:pStyle w:val="NormalWeb"/>
        <w:jc w:val="both"/>
        <w:rPr>
          <w:rFonts w:ascii="Times New Roman" w:hAnsi="Times New Roman"/>
          <w:color w:val="000000"/>
          <w:sz w:val="27"/>
          <w:szCs w:val="27"/>
        </w:rPr>
      </w:pPr>
      <w:r w:rsidRPr="00E02334">
        <w:rPr>
          <w:rFonts w:ascii="Times New Roman" w:hAnsi="Times New Roman"/>
          <w:color w:val="000000"/>
          <w:sz w:val="27"/>
          <w:szCs w:val="27"/>
        </w:rPr>
        <w:t>Mediante o dom do celibato, o presbítero adquire também aquela paternidade espiritual, mas real, que se alarga de modo universal e, em particular, se concretiza na relação com a comunidade que lhe é confiada</w:t>
      </w:r>
      <w:r w:rsidR="00D4781F">
        <w:rPr>
          <w:rStyle w:val="FootnoteReference"/>
          <w:rFonts w:ascii="Times New Roman" w:hAnsi="Times New Roman"/>
          <w:color w:val="000000"/>
          <w:sz w:val="27"/>
          <w:szCs w:val="27"/>
        </w:rPr>
        <w:footnoteReference w:id="13"/>
      </w:r>
      <w:r w:rsidRPr="00E02334">
        <w:rPr>
          <w:rFonts w:ascii="Times New Roman" w:hAnsi="Times New Roman"/>
          <w:color w:val="000000"/>
          <w:sz w:val="27"/>
          <w:szCs w:val="27"/>
        </w:rPr>
        <w:t>. «Esses são filhos do seu espírito, homens confiados pelo Bom Pastor à sua solicitude. E são muito mais numerosos do que quantos possa abranger uma família humana. [...] O coração do Sacerdote, a fim de estar disponível para tal serviço, para tal solicitude e amor, tem de ser livre. O celibato é sinal de liberdade para servir. De acordo com este sinal, o sacerdócio hierárquico, ou “ministerial” – segundo a tradição da nossa Igreja – está assim mais estritamente “ordenado” ao serviço do sacerdócio comum dos fiéis»</w:t>
      </w:r>
      <w:r w:rsidR="00D4781F">
        <w:rPr>
          <w:rStyle w:val="FootnoteReference"/>
          <w:rFonts w:ascii="Times New Roman" w:hAnsi="Times New Roman"/>
          <w:color w:val="000000"/>
          <w:sz w:val="27"/>
          <w:szCs w:val="27"/>
        </w:rPr>
        <w:footnoteReference w:id="14"/>
      </w:r>
      <w:r w:rsidRPr="00E02334">
        <w:rPr>
          <w:rFonts w:ascii="Times New Roman" w:hAnsi="Times New Roman"/>
          <w:color w:val="000000"/>
          <w:sz w:val="27"/>
          <w:szCs w:val="27"/>
        </w:rPr>
        <w:t>.</w:t>
      </w:r>
    </w:p>
    <w:p w14:paraId="3047318D" w14:textId="77777777" w:rsidR="00E02334" w:rsidRPr="00E02334" w:rsidRDefault="00E02334" w:rsidP="00E02334">
      <w:pPr>
        <w:pStyle w:val="NormalWeb"/>
        <w:jc w:val="both"/>
        <w:rPr>
          <w:rFonts w:ascii="Times New Roman" w:hAnsi="Times New Roman"/>
          <w:color w:val="000000"/>
          <w:sz w:val="27"/>
          <w:szCs w:val="27"/>
        </w:rPr>
      </w:pPr>
      <w:r w:rsidRPr="00E02334">
        <w:rPr>
          <w:rStyle w:val="Emphasis"/>
          <w:rFonts w:ascii="Times New Roman" w:hAnsi="Times New Roman"/>
          <w:color w:val="000000"/>
          <w:sz w:val="27"/>
          <w:szCs w:val="27"/>
        </w:rPr>
        <w:t>Exemplo de Jesus</w:t>
      </w:r>
    </w:p>
    <w:p w14:paraId="3644AB24" w14:textId="77777777" w:rsidR="00E02334" w:rsidRPr="00E02334" w:rsidRDefault="00E02334" w:rsidP="00E02334">
      <w:pPr>
        <w:pStyle w:val="NormalWeb"/>
        <w:jc w:val="both"/>
        <w:rPr>
          <w:rFonts w:ascii="Times New Roman" w:hAnsi="Times New Roman"/>
          <w:color w:val="000000"/>
          <w:sz w:val="27"/>
          <w:szCs w:val="27"/>
        </w:rPr>
      </w:pPr>
      <w:r w:rsidRPr="00E02334">
        <w:rPr>
          <w:rFonts w:ascii="Times New Roman" w:hAnsi="Times New Roman"/>
          <w:color w:val="000000"/>
          <w:sz w:val="27"/>
          <w:szCs w:val="27"/>
        </w:rPr>
        <w:lastRenderedPageBreak/>
        <w:t>81. O celibato é, portanto, dom de si «em» e «com» Cristo à sua Igreja e exprime o serviço do sacerdote à Igreja «em» e «com» o Senhor</w:t>
      </w:r>
      <w:r w:rsidR="00D4781F">
        <w:rPr>
          <w:rStyle w:val="FootnoteReference"/>
          <w:rFonts w:ascii="Times New Roman" w:hAnsi="Times New Roman"/>
          <w:color w:val="000000"/>
          <w:sz w:val="27"/>
          <w:szCs w:val="27"/>
        </w:rPr>
        <w:footnoteReference w:id="15"/>
      </w:r>
      <w:r w:rsidRPr="00E02334">
        <w:rPr>
          <w:rFonts w:ascii="Times New Roman" w:hAnsi="Times New Roman"/>
          <w:color w:val="000000"/>
          <w:sz w:val="27"/>
          <w:szCs w:val="27"/>
        </w:rPr>
        <w:t>.</w:t>
      </w:r>
    </w:p>
    <w:p w14:paraId="03665168" w14:textId="77777777" w:rsidR="00E02334" w:rsidRPr="00E02334" w:rsidRDefault="00E02334" w:rsidP="00E02334">
      <w:pPr>
        <w:pStyle w:val="NormalWeb"/>
        <w:jc w:val="both"/>
        <w:rPr>
          <w:rFonts w:ascii="Times New Roman" w:hAnsi="Times New Roman"/>
          <w:color w:val="000000"/>
          <w:sz w:val="27"/>
          <w:szCs w:val="27"/>
        </w:rPr>
      </w:pPr>
      <w:r w:rsidRPr="00E02334">
        <w:rPr>
          <w:rFonts w:ascii="Times New Roman" w:hAnsi="Times New Roman"/>
          <w:color w:val="000000"/>
          <w:sz w:val="27"/>
          <w:szCs w:val="27"/>
        </w:rPr>
        <w:t>O exemplo é o do próprio Senhor, o qual, indo contra aquela que se pode considerar a cultura dominante do seu tempo, escolheu livremente viver celibatário. Na sua sequela, os discípulos deixaram «tudo» para realizar a missão que lhes foi confiada (</w:t>
      </w:r>
      <w:proofErr w:type="spellStart"/>
      <w:r w:rsidRPr="00E02334">
        <w:rPr>
          <w:rFonts w:ascii="Times New Roman" w:hAnsi="Times New Roman"/>
          <w:i/>
          <w:iCs/>
          <w:color w:val="000000"/>
          <w:sz w:val="27"/>
          <w:szCs w:val="27"/>
        </w:rPr>
        <w:t>Lc</w:t>
      </w:r>
      <w:proofErr w:type="spellEnd"/>
      <w:r w:rsidR="00D4781F">
        <w:rPr>
          <w:rStyle w:val="apple-converted-space"/>
          <w:rFonts w:ascii="Times New Roman" w:hAnsi="Times New Roman"/>
          <w:color w:val="000000"/>
          <w:sz w:val="27"/>
          <w:szCs w:val="27"/>
        </w:rPr>
        <w:t xml:space="preserve"> </w:t>
      </w:r>
      <w:r w:rsidRPr="00E02334">
        <w:rPr>
          <w:rFonts w:ascii="Times New Roman" w:hAnsi="Times New Roman"/>
          <w:color w:val="000000"/>
          <w:sz w:val="27"/>
          <w:szCs w:val="27"/>
        </w:rPr>
        <w:t>18,28-30).</w:t>
      </w:r>
    </w:p>
    <w:p w14:paraId="074DC7A5" w14:textId="77777777" w:rsidR="00E02334" w:rsidRPr="00E02334" w:rsidRDefault="00E02334" w:rsidP="00E02334">
      <w:pPr>
        <w:pStyle w:val="NormalWeb"/>
        <w:jc w:val="both"/>
        <w:rPr>
          <w:rFonts w:ascii="Times New Roman" w:hAnsi="Times New Roman"/>
          <w:color w:val="000000"/>
          <w:sz w:val="27"/>
          <w:szCs w:val="27"/>
        </w:rPr>
      </w:pPr>
      <w:r w:rsidRPr="00E02334">
        <w:rPr>
          <w:rFonts w:ascii="Times New Roman" w:hAnsi="Times New Roman"/>
          <w:color w:val="000000"/>
          <w:sz w:val="27"/>
          <w:szCs w:val="27"/>
        </w:rPr>
        <w:t>Por esse motivo, a Igreja, desde os tempos apostólicos, quis conservar o dom da continência perpétua dos clérigos e se orientou a escolher os candidatos às Ordens sagradas entre os celibatários (cf.</w:t>
      </w:r>
      <w:r w:rsidR="00D4781F">
        <w:rPr>
          <w:rStyle w:val="apple-converted-space"/>
          <w:rFonts w:ascii="Times New Roman" w:hAnsi="Times New Roman"/>
          <w:color w:val="000000"/>
          <w:sz w:val="27"/>
          <w:szCs w:val="27"/>
        </w:rPr>
        <w:t xml:space="preserve"> </w:t>
      </w:r>
      <w:r w:rsidRPr="00E02334">
        <w:rPr>
          <w:rFonts w:ascii="Times New Roman" w:hAnsi="Times New Roman"/>
          <w:i/>
          <w:iCs/>
          <w:color w:val="000000"/>
          <w:sz w:val="27"/>
          <w:szCs w:val="27"/>
        </w:rPr>
        <w:t>2Ts</w:t>
      </w:r>
      <w:r w:rsidR="00D4781F">
        <w:rPr>
          <w:rStyle w:val="apple-converted-space"/>
          <w:rFonts w:ascii="Times New Roman" w:hAnsi="Times New Roman"/>
          <w:color w:val="000000"/>
          <w:sz w:val="27"/>
          <w:szCs w:val="27"/>
        </w:rPr>
        <w:t xml:space="preserve"> </w:t>
      </w:r>
      <w:r w:rsidRPr="00E02334">
        <w:rPr>
          <w:rFonts w:ascii="Times New Roman" w:hAnsi="Times New Roman"/>
          <w:color w:val="000000"/>
          <w:sz w:val="27"/>
          <w:szCs w:val="27"/>
        </w:rPr>
        <w:t>2,15;</w:t>
      </w:r>
      <w:r w:rsidR="00D4781F">
        <w:rPr>
          <w:rStyle w:val="apple-converted-space"/>
          <w:rFonts w:ascii="Times New Roman" w:hAnsi="Times New Roman"/>
          <w:color w:val="000000"/>
          <w:sz w:val="27"/>
          <w:szCs w:val="27"/>
        </w:rPr>
        <w:t xml:space="preserve"> </w:t>
      </w:r>
      <w:r w:rsidRPr="00E02334">
        <w:rPr>
          <w:rFonts w:ascii="Times New Roman" w:hAnsi="Times New Roman"/>
          <w:i/>
          <w:iCs/>
          <w:color w:val="000000"/>
          <w:sz w:val="27"/>
          <w:szCs w:val="27"/>
        </w:rPr>
        <w:t>1Cor</w:t>
      </w:r>
      <w:r w:rsidR="00D4781F">
        <w:rPr>
          <w:rStyle w:val="apple-converted-space"/>
          <w:rFonts w:ascii="Times New Roman" w:hAnsi="Times New Roman"/>
          <w:color w:val="000000"/>
          <w:sz w:val="27"/>
          <w:szCs w:val="27"/>
        </w:rPr>
        <w:t xml:space="preserve"> </w:t>
      </w:r>
      <w:r w:rsidRPr="00E02334">
        <w:rPr>
          <w:rFonts w:ascii="Times New Roman" w:hAnsi="Times New Roman"/>
          <w:color w:val="000000"/>
          <w:sz w:val="27"/>
          <w:szCs w:val="27"/>
        </w:rPr>
        <w:t>7,5; 9,5;</w:t>
      </w:r>
      <w:r w:rsidR="00D4781F">
        <w:rPr>
          <w:rStyle w:val="apple-converted-space"/>
          <w:rFonts w:ascii="Times New Roman" w:hAnsi="Times New Roman"/>
          <w:color w:val="000000"/>
          <w:sz w:val="27"/>
          <w:szCs w:val="27"/>
        </w:rPr>
        <w:t xml:space="preserve"> </w:t>
      </w:r>
      <w:r w:rsidRPr="00E02334">
        <w:rPr>
          <w:rFonts w:ascii="Times New Roman" w:hAnsi="Times New Roman"/>
          <w:i/>
          <w:iCs/>
          <w:color w:val="000000"/>
          <w:sz w:val="27"/>
          <w:szCs w:val="27"/>
        </w:rPr>
        <w:t>1Tm</w:t>
      </w:r>
      <w:r w:rsidR="00D4781F">
        <w:rPr>
          <w:rStyle w:val="apple-converted-space"/>
          <w:rFonts w:ascii="Times New Roman" w:hAnsi="Times New Roman"/>
          <w:color w:val="000000"/>
          <w:sz w:val="27"/>
          <w:szCs w:val="27"/>
        </w:rPr>
        <w:t xml:space="preserve"> </w:t>
      </w:r>
      <w:r w:rsidRPr="00E02334">
        <w:rPr>
          <w:rFonts w:ascii="Times New Roman" w:hAnsi="Times New Roman"/>
          <w:color w:val="000000"/>
          <w:sz w:val="27"/>
          <w:szCs w:val="27"/>
        </w:rPr>
        <w:t>3,2.12; 5, 9;</w:t>
      </w:r>
      <w:r w:rsidR="00D4781F">
        <w:rPr>
          <w:rStyle w:val="apple-converted-space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E02334">
        <w:rPr>
          <w:rFonts w:ascii="Times New Roman" w:hAnsi="Times New Roman"/>
          <w:i/>
          <w:iCs/>
          <w:color w:val="000000"/>
          <w:sz w:val="27"/>
          <w:szCs w:val="27"/>
        </w:rPr>
        <w:t>Tt</w:t>
      </w:r>
      <w:proofErr w:type="spellEnd"/>
      <w:r w:rsidR="00D4781F">
        <w:rPr>
          <w:rStyle w:val="apple-converted-space"/>
          <w:rFonts w:ascii="Times New Roman" w:hAnsi="Times New Roman"/>
          <w:color w:val="000000"/>
          <w:sz w:val="27"/>
          <w:szCs w:val="27"/>
        </w:rPr>
        <w:t xml:space="preserve"> </w:t>
      </w:r>
      <w:r w:rsidRPr="00E02334">
        <w:rPr>
          <w:rFonts w:ascii="Times New Roman" w:hAnsi="Times New Roman"/>
          <w:color w:val="000000"/>
          <w:sz w:val="27"/>
          <w:szCs w:val="27"/>
        </w:rPr>
        <w:t>1,6.8)</w:t>
      </w:r>
      <w:r w:rsidR="00D4781F">
        <w:rPr>
          <w:rStyle w:val="FootnoteReference"/>
          <w:rFonts w:ascii="Times New Roman" w:hAnsi="Times New Roman"/>
          <w:color w:val="000000"/>
          <w:sz w:val="27"/>
          <w:szCs w:val="27"/>
        </w:rPr>
        <w:footnoteReference w:id="16"/>
      </w:r>
      <w:r w:rsidRPr="00E02334">
        <w:rPr>
          <w:rFonts w:ascii="Times New Roman" w:hAnsi="Times New Roman"/>
          <w:color w:val="000000"/>
          <w:sz w:val="27"/>
          <w:szCs w:val="27"/>
        </w:rPr>
        <w:t>.</w:t>
      </w:r>
    </w:p>
    <w:p w14:paraId="4DF0B5A5" w14:textId="77777777" w:rsidR="00E02334" w:rsidRPr="00E02334" w:rsidRDefault="00E02334" w:rsidP="00E02334">
      <w:pPr>
        <w:pStyle w:val="NormalWeb"/>
        <w:jc w:val="both"/>
        <w:rPr>
          <w:rFonts w:ascii="Times New Roman" w:hAnsi="Times New Roman"/>
          <w:color w:val="000000"/>
          <w:sz w:val="27"/>
          <w:szCs w:val="27"/>
        </w:rPr>
      </w:pPr>
      <w:r w:rsidRPr="00E02334">
        <w:rPr>
          <w:rFonts w:ascii="Times New Roman" w:hAnsi="Times New Roman"/>
          <w:color w:val="000000"/>
          <w:sz w:val="27"/>
          <w:szCs w:val="27"/>
        </w:rPr>
        <w:t>O celibato é um dom que se recebe da misericórdia divina</w:t>
      </w:r>
      <w:r w:rsidR="00ED3DAA">
        <w:rPr>
          <w:rStyle w:val="FootnoteReference"/>
          <w:rFonts w:ascii="Times New Roman" w:hAnsi="Times New Roman"/>
          <w:color w:val="000000"/>
          <w:sz w:val="27"/>
          <w:szCs w:val="27"/>
        </w:rPr>
        <w:footnoteReference w:id="17"/>
      </w:r>
      <w:r w:rsidRPr="00E02334">
        <w:rPr>
          <w:rFonts w:ascii="Times New Roman" w:hAnsi="Times New Roman"/>
          <w:color w:val="000000"/>
          <w:sz w:val="27"/>
          <w:szCs w:val="27"/>
        </w:rPr>
        <w:t xml:space="preserve">, como escolha de liberdade e acolhimento agradecido de uma vocação especial de amor a Deus e aos homens. Por isso, não deve ser compreendido e vivido como se fosse simplesmente um efeito colateral do </w:t>
      </w:r>
      <w:proofErr w:type="spellStart"/>
      <w:r w:rsidRPr="00E02334">
        <w:rPr>
          <w:rFonts w:ascii="Times New Roman" w:hAnsi="Times New Roman"/>
          <w:color w:val="000000"/>
          <w:sz w:val="27"/>
          <w:szCs w:val="27"/>
        </w:rPr>
        <w:t>presbiterato</w:t>
      </w:r>
      <w:proofErr w:type="spellEnd"/>
      <w:r w:rsidRPr="00E02334">
        <w:rPr>
          <w:rFonts w:ascii="Times New Roman" w:hAnsi="Times New Roman"/>
          <w:color w:val="000000"/>
          <w:sz w:val="27"/>
          <w:szCs w:val="27"/>
        </w:rPr>
        <w:t>.</w:t>
      </w:r>
    </w:p>
    <w:p w14:paraId="26755754" w14:textId="77777777" w:rsidR="00E02334" w:rsidRPr="00E02334" w:rsidRDefault="00E02334" w:rsidP="00E02334">
      <w:pPr>
        <w:pStyle w:val="NormalWeb"/>
        <w:jc w:val="both"/>
        <w:rPr>
          <w:rFonts w:ascii="Times New Roman" w:hAnsi="Times New Roman"/>
          <w:color w:val="000000"/>
          <w:sz w:val="27"/>
          <w:szCs w:val="27"/>
        </w:rPr>
      </w:pPr>
      <w:r w:rsidRPr="00E02334">
        <w:rPr>
          <w:rStyle w:val="Emphasis"/>
          <w:rFonts w:ascii="Times New Roman" w:hAnsi="Times New Roman"/>
          <w:color w:val="000000"/>
          <w:sz w:val="27"/>
          <w:szCs w:val="27"/>
        </w:rPr>
        <w:t>Dificuldades e objeções</w:t>
      </w:r>
    </w:p>
    <w:p w14:paraId="7EA409ED" w14:textId="77777777" w:rsidR="00E02334" w:rsidRPr="00E02334" w:rsidRDefault="00E02334" w:rsidP="00E02334">
      <w:pPr>
        <w:pStyle w:val="NormalWeb"/>
        <w:jc w:val="both"/>
        <w:rPr>
          <w:rFonts w:ascii="Times New Roman" w:hAnsi="Times New Roman"/>
          <w:color w:val="000000"/>
          <w:sz w:val="27"/>
          <w:szCs w:val="27"/>
        </w:rPr>
      </w:pPr>
      <w:r w:rsidRPr="00E02334">
        <w:rPr>
          <w:rFonts w:ascii="Times New Roman" w:hAnsi="Times New Roman"/>
          <w:color w:val="000000"/>
          <w:sz w:val="27"/>
          <w:szCs w:val="27"/>
        </w:rPr>
        <w:t>82. No atual clima cultural, condicionado, muitas vezes, por uma visão do homem destituída de valores e, sobretudo, incapaz de dar um sentido pleno, positivo e libertador à sexualidade humana, coloca-se frequentemente a pergunta sobre a importância e o significado do celibato sacerdotal ou ao menos sobre a oportunidade de afirmar o seu vínculo estrito e a sua profunda sintonia com o sacerdócio ministerial.</w:t>
      </w:r>
    </w:p>
    <w:p w14:paraId="761DD62F" w14:textId="77777777" w:rsidR="00E02334" w:rsidRPr="00E02334" w:rsidRDefault="00E02334" w:rsidP="00E02334">
      <w:pPr>
        <w:pStyle w:val="NormalWeb"/>
        <w:jc w:val="both"/>
        <w:rPr>
          <w:rFonts w:ascii="Times New Roman" w:hAnsi="Times New Roman"/>
          <w:color w:val="000000"/>
          <w:sz w:val="27"/>
          <w:szCs w:val="27"/>
        </w:rPr>
      </w:pPr>
      <w:r w:rsidRPr="00ED3DAA">
        <w:rPr>
          <w:rFonts w:ascii="Times New Roman" w:hAnsi="Times New Roman"/>
          <w:color w:val="000000"/>
          <w:sz w:val="27"/>
          <w:szCs w:val="27"/>
          <w:highlight w:val="yellow"/>
        </w:rPr>
        <w:t xml:space="preserve">«Num certo sentido, esta crítica permanente contra o celibato pode surpreender, num tempo em que está cada vez mais na moda não casar. Mas este não-casar é uma coisa total, fundamentalmente diversa do celibato, porque o não-casar se baseia na vontade de viver só para si mesmo, de não aceitar qualquer vínculo definitivo, de ter a vida em todos os momentos em plena autonomia, decidir em qualquer momento como fazer, o que tirar da vida; e portanto um “não” ao vínculo, um “não” à </w:t>
      </w:r>
      <w:proofErr w:type="spellStart"/>
      <w:r w:rsidRPr="00ED3DAA">
        <w:rPr>
          <w:rFonts w:ascii="Times New Roman" w:hAnsi="Times New Roman"/>
          <w:color w:val="000000"/>
          <w:sz w:val="27"/>
          <w:szCs w:val="27"/>
          <w:highlight w:val="yellow"/>
        </w:rPr>
        <w:t>definitividade</w:t>
      </w:r>
      <w:proofErr w:type="spellEnd"/>
      <w:r w:rsidRPr="00ED3DAA">
        <w:rPr>
          <w:rFonts w:ascii="Times New Roman" w:hAnsi="Times New Roman"/>
          <w:color w:val="000000"/>
          <w:sz w:val="27"/>
          <w:szCs w:val="27"/>
          <w:highlight w:val="yellow"/>
        </w:rPr>
        <w:t>, um ter a vida só para si mesmos. Enquanto o celibato é precisamente o contrário: é um “sim” definitivo, é um deixar-se guiar pela mão de Deus, entregar-se nas mãos do Senhor, no seu “eu”, e portanto é um ato de fidelidade e de confiança, um ato que supõe também a fidelidade do matrimônio; é precisamente o contrário deste “não”, desta autonomia que não se quer comprometer, que não quer entrar num vínculo»</w:t>
      </w:r>
      <w:r w:rsidR="00ED3DAA" w:rsidRPr="00ED3DAA">
        <w:rPr>
          <w:rStyle w:val="FootnoteReference"/>
          <w:rFonts w:ascii="Times New Roman" w:hAnsi="Times New Roman"/>
          <w:color w:val="000000"/>
          <w:sz w:val="27"/>
          <w:szCs w:val="27"/>
          <w:highlight w:val="yellow"/>
        </w:rPr>
        <w:footnoteReference w:id="18"/>
      </w:r>
      <w:r w:rsidRPr="00ED3DAA">
        <w:rPr>
          <w:rFonts w:ascii="Times New Roman" w:hAnsi="Times New Roman"/>
          <w:color w:val="000000"/>
          <w:sz w:val="27"/>
          <w:szCs w:val="27"/>
          <w:highlight w:val="yellow"/>
        </w:rPr>
        <w:t>.</w:t>
      </w:r>
    </w:p>
    <w:p w14:paraId="71AECA79" w14:textId="77777777" w:rsidR="00E02334" w:rsidRPr="00E02334" w:rsidRDefault="00E02334" w:rsidP="00E02334">
      <w:pPr>
        <w:pStyle w:val="NormalWeb"/>
        <w:jc w:val="both"/>
        <w:rPr>
          <w:rFonts w:ascii="Times New Roman" w:hAnsi="Times New Roman"/>
          <w:color w:val="000000"/>
          <w:sz w:val="27"/>
          <w:szCs w:val="27"/>
        </w:rPr>
      </w:pPr>
      <w:r w:rsidRPr="00E02334">
        <w:rPr>
          <w:rFonts w:ascii="Times New Roman" w:hAnsi="Times New Roman"/>
          <w:color w:val="000000"/>
          <w:sz w:val="27"/>
          <w:szCs w:val="27"/>
        </w:rPr>
        <w:t>O presbítero não anuncia a si mesmo, «mas, dentro e através da própria humanidade, cada sacerdote deve estar bem consciente de levar Outro, o próprio Deus, ao mundo. Deus é a única riqueza que, de modo definitivo, os homens desejam encontrar num sacerdote»</w:t>
      </w:r>
      <w:r w:rsidR="00ED3DAA">
        <w:rPr>
          <w:rStyle w:val="FootnoteReference"/>
          <w:rFonts w:ascii="Times New Roman" w:hAnsi="Times New Roman"/>
          <w:color w:val="000000"/>
          <w:sz w:val="27"/>
          <w:szCs w:val="27"/>
        </w:rPr>
        <w:footnoteReference w:id="19"/>
      </w:r>
      <w:r w:rsidRPr="00E02334">
        <w:rPr>
          <w:rFonts w:ascii="Times New Roman" w:hAnsi="Times New Roman"/>
          <w:color w:val="000000"/>
          <w:sz w:val="27"/>
          <w:szCs w:val="27"/>
        </w:rPr>
        <w:t xml:space="preserve">. O modelo sacerdotal é o </w:t>
      </w:r>
      <w:r w:rsidRPr="00E02334">
        <w:rPr>
          <w:rFonts w:ascii="Times New Roman" w:hAnsi="Times New Roman"/>
          <w:color w:val="000000"/>
          <w:sz w:val="27"/>
          <w:szCs w:val="27"/>
        </w:rPr>
        <w:lastRenderedPageBreak/>
        <w:t xml:space="preserve">de ser testemunha do Absoluto: o fato de que, hoje, em muitos ambientes, o celibato seja pouco compreendido ou pouco apreciado não deve conduzir a </w:t>
      </w:r>
      <w:proofErr w:type="spellStart"/>
      <w:r w:rsidRPr="00E02334">
        <w:rPr>
          <w:rFonts w:ascii="Times New Roman" w:hAnsi="Times New Roman"/>
          <w:color w:val="000000"/>
          <w:sz w:val="27"/>
          <w:szCs w:val="27"/>
        </w:rPr>
        <w:t>hipotizações</w:t>
      </w:r>
      <w:proofErr w:type="spellEnd"/>
      <w:r w:rsidRPr="00E02334">
        <w:rPr>
          <w:rFonts w:ascii="Times New Roman" w:hAnsi="Times New Roman"/>
          <w:color w:val="000000"/>
          <w:sz w:val="27"/>
          <w:szCs w:val="27"/>
        </w:rPr>
        <w:t xml:space="preserve"> de cenários diferentes, mas requer redescobrir de um modo novo este dom do amor de Deus pelos homens. Com efeito, o celibato sacerdotal é também admirado e amado por muitas pessoas, também não cristãs.</w:t>
      </w:r>
    </w:p>
    <w:p w14:paraId="599A7878" w14:textId="77777777" w:rsidR="00E02334" w:rsidRPr="00E02334" w:rsidRDefault="00E02334" w:rsidP="00E02334">
      <w:pPr>
        <w:pStyle w:val="NormalWeb"/>
        <w:jc w:val="both"/>
        <w:rPr>
          <w:rFonts w:ascii="Times New Roman" w:hAnsi="Times New Roman"/>
          <w:color w:val="000000"/>
          <w:sz w:val="27"/>
          <w:szCs w:val="27"/>
        </w:rPr>
      </w:pPr>
      <w:r w:rsidRPr="00E02334">
        <w:rPr>
          <w:rFonts w:ascii="Times New Roman" w:hAnsi="Times New Roman"/>
          <w:color w:val="000000"/>
          <w:sz w:val="27"/>
          <w:szCs w:val="27"/>
        </w:rPr>
        <w:t>Não se pode esquecer de que o celibato é vivificado pela prática da virtude da castidade, de que pode ser vivido somente mediante o cultivo da pureza, com maturidade sobrenatural e humana</w:t>
      </w:r>
      <w:r w:rsidR="00ED3DAA">
        <w:rPr>
          <w:rStyle w:val="FootnoteReference"/>
          <w:rFonts w:ascii="Times New Roman" w:hAnsi="Times New Roman"/>
          <w:color w:val="000000"/>
          <w:sz w:val="27"/>
          <w:szCs w:val="27"/>
        </w:rPr>
        <w:footnoteReference w:id="20"/>
      </w:r>
      <w:r w:rsidRPr="00E02334">
        <w:rPr>
          <w:rFonts w:ascii="Times New Roman" w:hAnsi="Times New Roman"/>
          <w:color w:val="000000"/>
          <w:sz w:val="27"/>
          <w:szCs w:val="27"/>
        </w:rPr>
        <w:t>, enquanto essencial à finalidade de desenvolver o talento da vocação. Não é possível amar Cristo e os outros com um coração impuro. A virtude da pureza torna capaz de viver a indicação do Apóstolo: «Glorificai a Deus em vosso corpo!» (</w:t>
      </w:r>
      <w:r w:rsidRPr="00E02334">
        <w:rPr>
          <w:rFonts w:ascii="Times New Roman" w:hAnsi="Times New Roman"/>
          <w:i/>
          <w:iCs/>
          <w:color w:val="000000"/>
          <w:sz w:val="27"/>
          <w:szCs w:val="27"/>
        </w:rPr>
        <w:t>1Cor</w:t>
      </w:r>
      <w:r w:rsidR="00ED3DAA">
        <w:rPr>
          <w:rStyle w:val="apple-converted-space"/>
          <w:rFonts w:ascii="Times New Roman" w:hAnsi="Times New Roman"/>
          <w:color w:val="000000"/>
          <w:sz w:val="27"/>
          <w:szCs w:val="27"/>
        </w:rPr>
        <w:t xml:space="preserve"> </w:t>
      </w:r>
      <w:r w:rsidRPr="00E02334">
        <w:rPr>
          <w:rFonts w:ascii="Times New Roman" w:hAnsi="Times New Roman"/>
          <w:color w:val="000000"/>
          <w:sz w:val="27"/>
          <w:szCs w:val="27"/>
        </w:rPr>
        <w:t>6,20). Quando falta esta virtude, todas as outras dimensões ficam prejudicadas. Se é verdade que no contexto atual existem diversas dificuldades para viver a santa pureza, é tanto mais verdade que o Senhor derrame com abundância a sua graça e ofereça os meios necessários para praticar esta virtude com alegria e júbilo.</w:t>
      </w:r>
    </w:p>
    <w:p w14:paraId="160C7ED2" w14:textId="77777777" w:rsidR="00E02334" w:rsidRPr="00E02334" w:rsidRDefault="00E02334" w:rsidP="00E02334">
      <w:pPr>
        <w:pStyle w:val="NormalWeb"/>
        <w:jc w:val="both"/>
        <w:rPr>
          <w:rFonts w:ascii="Times New Roman" w:hAnsi="Times New Roman"/>
          <w:color w:val="000000"/>
          <w:sz w:val="27"/>
          <w:szCs w:val="27"/>
        </w:rPr>
      </w:pPr>
      <w:r w:rsidRPr="00E02334">
        <w:rPr>
          <w:rFonts w:ascii="Times New Roman" w:hAnsi="Times New Roman"/>
          <w:color w:val="000000"/>
          <w:sz w:val="27"/>
          <w:szCs w:val="27"/>
        </w:rPr>
        <w:t>É claro que, para garantir e defender este dom, num clima de sereno equilíbrio e de progresso espiritual, devem ser postas em prática todas as medidas que afastem o sacerdote das dificuldades possíveis</w:t>
      </w:r>
      <w:r w:rsidR="00ED3DAA">
        <w:rPr>
          <w:rStyle w:val="FootnoteReference"/>
          <w:rFonts w:ascii="Times New Roman" w:hAnsi="Times New Roman"/>
          <w:color w:val="000000"/>
          <w:sz w:val="27"/>
          <w:szCs w:val="27"/>
        </w:rPr>
        <w:footnoteReference w:id="21"/>
      </w:r>
      <w:r w:rsidRPr="00E02334">
        <w:rPr>
          <w:rFonts w:ascii="Times New Roman" w:hAnsi="Times New Roman"/>
          <w:color w:val="000000"/>
          <w:sz w:val="27"/>
          <w:szCs w:val="27"/>
        </w:rPr>
        <w:t>.</w:t>
      </w:r>
    </w:p>
    <w:p w14:paraId="7869EEFD" w14:textId="77777777" w:rsidR="00E02334" w:rsidRPr="00E02334" w:rsidRDefault="00E02334" w:rsidP="00E02334">
      <w:pPr>
        <w:pStyle w:val="NormalWeb"/>
        <w:jc w:val="both"/>
        <w:rPr>
          <w:rFonts w:ascii="Times New Roman" w:hAnsi="Times New Roman"/>
          <w:color w:val="000000"/>
          <w:sz w:val="27"/>
          <w:szCs w:val="27"/>
        </w:rPr>
      </w:pPr>
      <w:r w:rsidRPr="00E02334">
        <w:rPr>
          <w:rFonts w:ascii="Times New Roman" w:hAnsi="Times New Roman"/>
          <w:color w:val="000000"/>
          <w:sz w:val="27"/>
          <w:szCs w:val="27"/>
        </w:rPr>
        <w:t>É necessário, portanto, que os presbíteros se comportem com a devida prudência nas relações com as pessoas cuja familiaridade pode colocar em perigo a fidelidade ao dom ou então suscitar o escândalo dos fiéis</w:t>
      </w:r>
      <w:r w:rsidR="00401F57">
        <w:rPr>
          <w:rStyle w:val="FootnoteReference"/>
          <w:rFonts w:ascii="Times New Roman" w:hAnsi="Times New Roman"/>
          <w:color w:val="000000"/>
          <w:sz w:val="27"/>
          <w:szCs w:val="27"/>
        </w:rPr>
        <w:footnoteReference w:id="22"/>
      </w:r>
      <w:r w:rsidRPr="00E02334">
        <w:rPr>
          <w:rFonts w:ascii="Times New Roman" w:hAnsi="Times New Roman"/>
          <w:color w:val="000000"/>
          <w:sz w:val="27"/>
          <w:szCs w:val="27"/>
        </w:rPr>
        <w:t>. Nos casos particulares, deve atender-se ao parecer do Bispo, que tem obrigação de estabelecer normas precisas sobre o assunto</w:t>
      </w:r>
      <w:r w:rsidR="00401F57">
        <w:rPr>
          <w:rStyle w:val="FootnoteReference"/>
          <w:rFonts w:ascii="Times New Roman" w:hAnsi="Times New Roman"/>
          <w:color w:val="000000"/>
          <w:sz w:val="27"/>
          <w:szCs w:val="27"/>
        </w:rPr>
        <w:footnoteReference w:id="23"/>
      </w:r>
      <w:r w:rsidRPr="00E02334">
        <w:rPr>
          <w:rFonts w:ascii="Times New Roman" w:hAnsi="Times New Roman"/>
          <w:color w:val="000000"/>
          <w:sz w:val="27"/>
          <w:szCs w:val="27"/>
        </w:rPr>
        <w:t>. Como é lógico, o sacerdote deve abster-se de toda conduta ambígua e não esquecer o prioritário dever que tem de testemunhar o amor redentor de Cristo. Infelizmente, no que concerne a esta matéria, algumas situações que lamentavelmente aconteceram produziram um grande dano à Igreja e à sua credibilidade, embora tenham acontecido muito mais situações do gênero no mundo. O atual contexto requer, também por parte dos presbíteros, sensibilidade e prudência ainda maiores no que diz respeito às relações com as crianças e as pessoas em situação de risco</w:t>
      </w:r>
      <w:r w:rsidR="00401F57">
        <w:rPr>
          <w:rStyle w:val="FootnoteReference"/>
          <w:rFonts w:ascii="Times New Roman" w:hAnsi="Times New Roman"/>
          <w:color w:val="000000"/>
          <w:sz w:val="27"/>
          <w:szCs w:val="27"/>
        </w:rPr>
        <w:footnoteReference w:id="24"/>
      </w:r>
      <w:r w:rsidRPr="00E02334">
        <w:rPr>
          <w:rFonts w:ascii="Times New Roman" w:hAnsi="Times New Roman"/>
          <w:color w:val="000000"/>
          <w:sz w:val="27"/>
          <w:szCs w:val="27"/>
        </w:rPr>
        <w:t>. Em particular, se devem evitar situações que pudessem dar espaço a murmurações (por exemplo, permitir que crianças entrem sozinhas na casa paroquial ou levar menores de idade dentro do carro). No que diz respeito à confissão, seria oportuno que, habitualmente, os menores se confessem no confessionário durante o tempo no qual a Igreja está aberta ao público ou que, se por qualquer razão fosse necessário agir de outro modo, sejam respeitadas as correspondentes normas de prudência.</w:t>
      </w:r>
    </w:p>
    <w:p w14:paraId="130262AA" w14:textId="77777777" w:rsidR="00E02334" w:rsidRPr="00E02334" w:rsidRDefault="00E02334" w:rsidP="00E02334">
      <w:pPr>
        <w:pStyle w:val="NormalWeb"/>
        <w:jc w:val="both"/>
        <w:rPr>
          <w:rFonts w:ascii="Times New Roman" w:hAnsi="Times New Roman"/>
          <w:color w:val="000000"/>
          <w:sz w:val="27"/>
          <w:szCs w:val="27"/>
        </w:rPr>
      </w:pPr>
      <w:r w:rsidRPr="00E02334">
        <w:rPr>
          <w:rFonts w:ascii="Times New Roman" w:hAnsi="Times New Roman"/>
          <w:color w:val="000000"/>
          <w:sz w:val="27"/>
          <w:szCs w:val="27"/>
        </w:rPr>
        <w:lastRenderedPageBreak/>
        <w:t>Além disso, os sacerdotes não deixem de seguir aquelas regras ascéticas garantidas pela experiência da Igreja e que são ainda mais exigidas nas circunstâncias atuais. Evitem prudentemente frequentar lugares, assistir a espetáculos, fazer leituras ou frequentar</w:t>
      </w:r>
      <w:r w:rsidR="00401F57">
        <w:rPr>
          <w:rStyle w:val="apple-converted-space"/>
          <w:rFonts w:ascii="Times New Roman" w:hAnsi="Times New Roman"/>
          <w:color w:val="000000"/>
          <w:sz w:val="27"/>
          <w:szCs w:val="27"/>
        </w:rPr>
        <w:t xml:space="preserve"> </w:t>
      </w:r>
      <w:r w:rsidRPr="00E02334">
        <w:rPr>
          <w:rFonts w:ascii="Times New Roman" w:hAnsi="Times New Roman"/>
          <w:i/>
          <w:iCs/>
          <w:color w:val="000000"/>
          <w:sz w:val="27"/>
          <w:szCs w:val="27"/>
        </w:rPr>
        <w:t>sites</w:t>
      </w:r>
      <w:r w:rsidR="00401F57">
        <w:rPr>
          <w:rStyle w:val="apple-converted-space"/>
          <w:rFonts w:ascii="Times New Roman" w:hAnsi="Times New Roman"/>
          <w:color w:val="000000"/>
          <w:sz w:val="27"/>
          <w:szCs w:val="27"/>
        </w:rPr>
        <w:t xml:space="preserve"> </w:t>
      </w:r>
      <w:r w:rsidRPr="00E02334">
        <w:rPr>
          <w:rFonts w:ascii="Times New Roman" w:hAnsi="Times New Roman"/>
          <w:color w:val="000000"/>
          <w:sz w:val="27"/>
          <w:szCs w:val="27"/>
        </w:rPr>
        <w:t>na internet que constituam uma insídia à observância da castidade celibatária</w:t>
      </w:r>
      <w:r w:rsidR="00401F57">
        <w:rPr>
          <w:rStyle w:val="FootnoteReference"/>
          <w:rFonts w:ascii="Times New Roman" w:hAnsi="Times New Roman"/>
          <w:color w:val="000000"/>
          <w:sz w:val="27"/>
          <w:szCs w:val="27"/>
        </w:rPr>
        <w:footnoteReference w:id="25"/>
      </w:r>
      <w:r w:rsidR="00401F57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E02334">
        <w:rPr>
          <w:rFonts w:ascii="Times New Roman" w:hAnsi="Times New Roman"/>
          <w:color w:val="000000"/>
          <w:sz w:val="27"/>
          <w:szCs w:val="27"/>
        </w:rPr>
        <w:t>ou até ocasião e causa de graves pecados contra a moral cristã. No uso dos meios de comunicação social, como agentes ou como usufrutuários, observem a discrição necessária e evitem tudo o que pode prejudicar a vocação.</w:t>
      </w:r>
    </w:p>
    <w:p w14:paraId="5D8FC5E2" w14:textId="77777777" w:rsidR="00E02334" w:rsidRPr="00E02334" w:rsidRDefault="00E02334" w:rsidP="00E02334">
      <w:pPr>
        <w:pStyle w:val="NormalWeb"/>
        <w:jc w:val="both"/>
        <w:rPr>
          <w:rFonts w:ascii="Times New Roman" w:hAnsi="Times New Roman"/>
          <w:color w:val="000000"/>
          <w:sz w:val="27"/>
          <w:szCs w:val="27"/>
        </w:rPr>
      </w:pPr>
      <w:r w:rsidRPr="00401F57">
        <w:rPr>
          <w:rFonts w:ascii="Times New Roman" w:hAnsi="Times New Roman"/>
          <w:color w:val="000000"/>
          <w:sz w:val="27"/>
          <w:szCs w:val="27"/>
          <w:highlight w:val="yellow"/>
        </w:rPr>
        <w:t xml:space="preserve">Para guardar com amor o dom recebido, em um clima de exasperado </w:t>
      </w:r>
      <w:proofErr w:type="spellStart"/>
      <w:r w:rsidRPr="00401F57">
        <w:rPr>
          <w:rFonts w:ascii="Times New Roman" w:hAnsi="Times New Roman"/>
          <w:color w:val="000000"/>
          <w:sz w:val="27"/>
          <w:szCs w:val="27"/>
          <w:highlight w:val="yellow"/>
        </w:rPr>
        <w:t>permissivismo</w:t>
      </w:r>
      <w:proofErr w:type="spellEnd"/>
      <w:r w:rsidRPr="00401F57">
        <w:rPr>
          <w:rFonts w:ascii="Times New Roman" w:hAnsi="Times New Roman"/>
          <w:color w:val="000000"/>
          <w:sz w:val="27"/>
          <w:szCs w:val="27"/>
          <w:highlight w:val="yellow"/>
        </w:rPr>
        <w:t xml:space="preserve"> sexual, os sacerdotes recorram a todos aqueles meios naturais e sobrenaturais, dos quais a tradição da Igreja é rica. Por um lado, a fraternidade sacerdotal, o cuidado de ter bons relacionamentos com as pessoas, a ascese e o domínio de si mesmo, a mortificação; é também útil incentivar uma cultura da beleza nos vários campos da vida, que auxilie na luta diante de tudo aquilo que é degradante e nocivo, nutrir certa paixão pelo próprio ministério apostólico, aceitar serenamente certo tipo de solidão, uma sapiente e profícua gestão do tempo livre para que não se torne um tempo</w:t>
      </w:r>
      <w:r w:rsidRPr="00E02334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401F57">
        <w:rPr>
          <w:rFonts w:ascii="Times New Roman" w:hAnsi="Times New Roman"/>
          <w:color w:val="000000"/>
          <w:sz w:val="27"/>
          <w:szCs w:val="27"/>
          <w:highlight w:val="yellow"/>
        </w:rPr>
        <w:t>vazio. Por outro lado, são essenciais a comunhão com Cristo, uma forte piedade eucarística, a confissão frequente, a direção espiritual, os exercícios e os retiros espirituais, um espírito de aceitação das cruzes da vida cotidiana, a confiança e o amor à Igreja, a filial devoção à Bem-aventurada Virgem Maria e a consideração dos exemplos dos sacerdotes santos de todos os tempos</w:t>
      </w:r>
      <w:r w:rsidR="00401F57" w:rsidRPr="00401F57">
        <w:rPr>
          <w:rStyle w:val="FootnoteReference"/>
          <w:rFonts w:ascii="Times New Roman" w:hAnsi="Times New Roman"/>
          <w:color w:val="000000"/>
          <w:sz w:val="27"/>
          <w:szCs w:val="27"/>
          <w:highlight w:val="yellow"/>
        </w:rPr>
        <w:footnoteReference w:id="26"/>
      </w:r>
      <w:r w:rsidRPr="00401F57">
        <w:rPr>
          <w:rFonts w:ascii="Times New Roman" w:hAnsi="Times New Roman"/>
          <w:color w:val="000000"/>
          <w:sz w:val="27"/>
          <w:szCs w:val="27"/>
          <w:highlight w:val="yellow"/>
        </w:rPr>
        <w:t>.</w:t>
      </w:r>
    </w:p>
    <w:p w14:paraId="6FA75CCB" w14:textId="77777777" w:rsidR="00E02334" w:rsidRPr="00E02334" w:rsidRDefault="00E02334" w:rsidP="00E02334">
      <w:pPr>
        <w:pStyle w:val="NormalWeb"/>
        <w:jc w:val="both"/>
        <w:rPr>
          <w:rFonts w:ascii="Times New Roman" w:hAnsi="Times New Roman"/>
          <w:color w:val="000000"/>
          <w:sz w:val="27"/>
          <w:szCs w:val="27"/>
        </w:rPr>
      </w:pPr>
      <w:r w:rsidRPr="00E02334">
        <w:rPr>
          <w:rFonts w:ascii="Times New Roman" w:hAnsi="Times New Roman"/>
          <w:color w:val="000000"/>
          <w:sz w:val="27"/>
          <w:szCs w:val="27"/>
        </w:rPr>
        <w:t>Dificuldades e objeções acompanharam sempre, ao longo dos séculos, a escolha da Igreja Latina e de algumas Igrejas Orientais de conferir o sacerdócio ministerial só àqueles homens que receberam de Deus o dom da castidade no celibato. A disciplina das outras Igrejas Orientais, que admitem o sacerdócio dos casados, não se contrapõe à da Igreja latina. Com efeito, as mesmas Igrejas Orientais exigem o celibato aos Bispos. Além disso, não permitem o matrimônio dos sacerdotes e nem permitem núpcias sucessivas aos que ficaram viúvos. Trata-se sempre e só da ordenação de homens já casados.</w:t>
      </w:r>
    </w:p>
    <w:p w14:paraId="029FD4F5" w14:textId="77777777" w:rsidR="002A1980" w:rsidRPr="00401F57" w:rsidRDefault="00E02334" w:rsidP="00401F57">
      <w:pPr>
        <w:pStyle w:val="NormalWeb"/>
        <w:jc w:val="both"/>
        <w:rPr>
          <w:rFonts w:ascii="Times New Roman" w:hAnsi="Times New Roman"/>
          <w:color w:val="000000"/>
          <w:sz w:val="27"/>
          <w:szCs w:val="27"/>
        </w:rPr>
      </w:pPr>
      <w:r w:rsidRPr="00E02334">
        <w:rPr>
          <w:rFonts w:ascii="Times New Roman" w:hAnsi="Times New Roman"/>
          <w:color w:val="000000"/>
          <w:sz w:val="27"/>
          <w:szCs w:val="27"/>
        </w:rPr>
        <w:t xml:space="preserve">As objeções que alguns, ainda hoje, apresentam contra o celibato sacerdotal se fundam frequentemente sobre argumentos baseados em pretextos como, por exemplo, a acusação de que o celibato é reflexo de um espiritualismo desencarnado ou de que se comporta com desconfiança ou desprezo para com a sexualidade; outras vezes, tomam como desculpa a consideração de casos tristes e dolorosos, mesmo sendo sempre particulares, aos quais se tende a generalizar. Pelo contrário, esquece-se o testemunho dado pela imensa maioria dos sacerdotes, que vivem o seu celibato com liberdade interior, com fortes motivações evangélicas, em fecundidade espiritual, num horizonte de convencida e contente fidelidade à própria vocação e missão, </w:t>
      </w:r>
      <w:r w:rsidRPr="00E02334">
        <w:rPr>
          <w:rFonts w:ascii="Times New Roman" w:hAnsi="Times New Roman"/>
          <w:color w:val="000000"/>
          <w:sz w:val="27"/>
          <w:szCs w:val="27"/>
        </w:rPr>
        <w:lastRenderedPageBreak/>
        <w:t>para não falar de tantos leigos que assumem felizmente um fecundo celibato apostólico.</w:t>
      </w:r>
    </w:p>
    <w:sectPr w:rsidR="002A1980" w:rsidRPr="00401F57" w:rsidSect="002A198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EB484" w14:textId="77777777" w:rsidR="00ED3DAA" w:rsidRDefault="00ED3DAA" w:rsidP="00E02334">
      <w:r>
        <w:separator/>
      </w:r>
    </w:p>
  </w:endnote>
  <w:endnote w:type="continuationSeparator" w:id="0">
    <w:p w14:paraId="7CB4E2D9" w14:textId="77777777" w:rsidR="00ED3DAA" w:rsidRDefault="00ED3DAA" w:rsidP="00E0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95C32" w14:textId="77777777" w:rsidR="00ED3DAA" w:rsidRDefault="00ED3DAA" w:rsidP="00E02334">
      <w:r>
        <w:separator/>
      </w:r>
    </w:p>
  </w:footnote>
  <w:footnote w:type="continuationSeparator" w:id="0">
    <w:p w14:paraId="0FA54422" w14:textId="77777777" w:rsidR="00ED3DAA" w:rsidRDefault="00ED3DAA" w:rsidP="00E02334">
      <w:r>
        <w:continuationSeparator/>
      </w:r>
    </w:p>
  </w:footnote>
  <w:footnote w:id="1">
    <w:p w14:paraId="1F1BAA00" w14:textId="77777777" w:rsidR="00ED3DAA" w:rsidRPr="00DA4D50" w:rsidRDefault="00ED3DAA" w:rsidP="00DA4D50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DA4D50">
        <w:rPr>
          <w:rStyle w:val="FootnoteReference"/>
          <w:rFonts w:ascii="Times New Roman" w:hAnsi="Times New Roman" w:cs="Times New Roman"/>
        </w:rPr>
        <w:footnoteRef/>
      </w:r>
      <w:r w:rsidRPr="00DA4D50">
        <w:rPr>
          <w:rFonts w:ascii="Times New Roman" w:hAnsi="Times New Roman" w:cs="Times New Roman"/>
        </w:rPr>
        <w:t xml:space="preserve"> João Paulo II, </w:t>
      </w:r>
      <w:proofErr w:type="spellStart"/>
      <w:r w:rsidRPr="00DA4D50">
        <w:rPr>
          <w:rFonts w:ascii="Times New Roman" w:hAnsi="Times New Roman" w:cs="Times New Roman"/>
        </w:rPr>
        <w:t>Exort</w:t>
      </w:r>
      <w:proofErr w:type="spellEnd"/>
      <w:r w:rsidRPr="00DA4D50">
        <w:rPr>
          <w:rFonts w:ascii="Times New Roman" w:hAnsi="Times New Roman" w:cs="Times New Roman"/>
        </w:rPr>
        <w:t xml:space="preserve">. ap. pós-sinodal </w:t>
      </w:r>
      <w:r w:rsidRPr="00DA4D50">
        <w:rPr>
          <w:rFonts w:ascii="Times New Roman" w:hAnsi="Times New Roman" w:cs="Times New Roman"/>
          <w:i/>
          <w:lang w:val="fi-FI"/>
        </w:rPr>
        <w:t>Pastores dabo vobis</w:t>
      </w:r>
      <w:r w:rsidRPr="00DA4D50">
        <w:rPr>
          <w:rFonts w:ascii="Times New Roman" w:hAnsi="Times New Roman" w:cs="Times New Roman"/>
        </w:rPr>
        <w:t xml:space="preserve">, 29; cf. Conc. </w:t>
      </w:r>
      <w:proofErr w:type="spellStart"/>
      <w:r w:rsidRPr="00DA4D50">
        <w:rPr>
          <w:rFonts w:ascii="Times New Roman" w:hAnsi="Times New Roman" w:cs="Times New Roman"/>
        </w:rPr>
        <w:t>Ecum</w:t>
      </w:r>
      <w:proofErr w:type="spellEnd"/>
      <w:r w:rsidRPr="00DA4D50">
        <w:rPr>
          <w:rFonts w:ascii="Times New Roman" w:hAnsi="Times New Roman" w:cs="Times New Roman"/>
        </w:rPr>
        <w:t xml:space="preserve">. Vat. II, Decr. </w:t>
      </w:r>
      <w:r w:rsidRPr="00DA4D50">
        <w:rPr>
          <w:rFonts w:ascii="Times New Roman" w:hAnsi="Times New Roman" w:cs="Times New Roman"/>
          <w:i/>
          <w:lang w:val="fi-FI"/>
        </w:rPr>
        <w:t>Presbyterorum Ordinis</w:t>
      </w:r>
      <w:r w:rsidRPr="00DA4D50">
        <w:rPr>
          <w:rFonts w:ascii="Times New Roman" w:hAnsi="Times New Roman" w:cs="Times New Roman"/>
        </w:rPr>
        <w:t xml:space="preserve">, 16; Paulo VI, Carta enc. </w:t>
      </w:r>
      <w:r w:rsidRPr="00DA4D50">
        <w:rPr>
          <w:rFonts w:ascii="Times New Roman" w:hAnsi="Times New Roman" w:cs="Times New Roman"/>
          <w:i/>
          <w:lang w:val="fi-FI"/>
        </w:rPr>
        <w:t>Sacerdotalis cælibatus</w:t>
      </w:r>
      <w:r w:rsidRPr="00DA4D50">
        <w:rPr>
          <w:rFonts w:ascii="Times New Roman" w:hAnsi="Times New Roman" w:cs="Times New Roman"/>
        </w:rPr>
        <w:t xml:space="preserve"> (24 de junho de 1967), 14: </w:t>
      </w:r>
      <w:r w:rsidRPr="00DA4D50">
        <w:rPr>
          <w:rFonts w:ascii="Times New Roman" w:hAnsi="Times New Roman" w:cs="Times New Roman"/>
          <w:i/>
        </w:rPr>
        <w:t>l.c</w:t>
      </w:r>
      <w:r w:rsidRPr="00DA4D50">
        <w:rPr>
          <w:rFonts w:ascii="Times New Roman" w:hAnsi="Times New Roman" w:cs="Times New Roman"/>
        </w:rPr>
        <w:t>., 662</w:t>
      </w:r>
      <w:r w:rsidRPr="00DA4D50">
        <w:rPr>
          <w:rFonts w:ascii="Times New Roman" w:hAnsi="Times New Roman" w:cs="Times New Roman"/>
          <w:i/>
        </w:rPr>
        <w:t>; C.I.C</w:t>
      </w:r>
      <w:r w:rsidRPr="00DA4D50">
        <w:rPr>
          <w:rFonts w:ascii="Times New Roman" w:hAnsi="Times New Roman" w:cs="Times New Roman"/>
        </w:rPr>
        <w:t>, can. 277, § 1.</w:t>
      </w:r>
    </w:p>
  </w:footnote>
  <w:footnote w:id="2">
    <w:p w14:paraId="0355849E" w14:textId="77777777" w:rsidR="00ED3DAA" w:rsidRPr="00DA4D50" w:rsidRDefault="00ED3DAA" w:rsidP="00DA4D50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DA4D50">
        <w:rPr>
          <w:rStyle w:val="FootnoteReference"/>
          <w:rFonts w:ascii="Times New Roman" w:hAnsi="Times New Roman" w:cs="Times New Roman"/>
        </w:rPr>
        <w:footnoteRef/>
      </w:r>
      <w:r w:rsidRPr="00DA4D50">
        <w:rPr>
          <w:rFonts w:ascii="Times New Roman" w:hAnsi="Times New Roman" w:cs="Times New Roman"/>
        </w:rPr>
        <w:t xml:space="preserve"> </w:t>
      </w:r>
      <w:r w:rsidRPr="00DA4D50">
        <w:rPr>
          <w:rFonts w:ascii="Times New Roman" w:hAnsi="Times New Roman" w:cs="Times New Roman"/>
        </w:rPr>
        <w:t xml:space="preserve">Bento XVI, </w:t>
      </w:r>
      <w:r w:rsidRPr="00DA4D50">
        <w:rPr>
          <w:rFonts w:ascii="Times New Roman" w:hAnsi="Times New Roman" w:cs="Times New Roman"/>
          <w:i/>
        </w:rPr>
        <w:t>Vigília por ocasião da conclusão do Ano Sacerdotal</w:t>
      </w:r>
      <w:r w:rsidRPr="00DA4D50">
        <w:rPr>
          <w:rFonts w:ascii="Times New Roman" w:hAnsi="Times New Roman" w:cs="Times New Roman"/>
        </w:rPr>
        <w:t xml:space="preserve"> (10 de junho de 2010): </w:t>
      </w:r>
      <w:r w:rsidRPr="00DA4D50">
        <w:rPr>
          <w:rFonts w:ascii="Times New Roman" w:hAnsi="Times New Roman" w:cs="Times New Roman"/>
          <w:i/>
        </w:rPr>
        <w:t>l.c</w:t>
      </w:r>
      <w:r w:rsidRPr="00DA4D50">
        <w:rPr>
          <w:rFonts w:ascii="Times New Roman" w:hAnsi="Times New Roman" w:cs="Times New Roman"/>
        </w:rPr>
        <w:t>., 397-406.</w:t>
      </w:r>
    </w:p>
  </w:footnote>
  <w:footnote w:id="3">
    <w:p w14:paraId="02CD40DF" w14:textId="77777777" w:rsidR="00ED3DAA" w:rsidRPr="00DA4D50" w:rsidRDefault="00ED3DAA" w:rsidP="00DA4D50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DA4D50">
        <w:rPr>
          <w:rStyle w:val="FootnoteReference"/>
          <w:rFonts w:ascii="Times New Roman" w:hAnsi="Times New Roman" w:cs="Times New Roman"/>
        </w:rPr>
        <w:footnoteRef/>
      </w:r>
      <w:r w:rsidRPr="00DA4D50">
        <w:rPr>
          <w:rFonts w:ascii="Times New Roman" w:hAnsi="Times New Roman" w:cs="Times New Roman"/>
        </w:rPr>
        <w:t xml:space="preserve"> </w:t>
      </w:r>
      <w:r w:rsidRPr="00DA4D50">
        <w:rPr>
          <w:rFonts w:ascii="Times New Roman" w:hAnsi="Times New Roman" w:cs="Times New Roman"/>
        </w:rPr>
        <w:t>Cf. João Paulo II, Carta enc</w:t>
      </w:r>
      <w:r w:rsidRPr="00DA4D50">
        <w:rPr>
          <w:rFonts w:ascii="Times New Roman" w:hAnsi="Times New Roman" w:cs="Times New Roman"/>
          <w:i/>
          <w:lang w:val="fi-FI"/>
        </w:rPr>
        <w:t>. Veritatis splendor</w:t>
      </w:r>
      <w:r w:rsidRPr="00DA4D50">
        <w:rPr>
          <w:rFonts w:ascii="Times New Roman" w:hAnsi="Times New Roman" w:cs="Times New Roman"/>
        </w:rPr>
        <w:t xml:space="preserve"> (6 de agosto de 1993), 22: </w:t>
      </w:r>
      <w:r w:rsidRPr="00DA4D50">
        <w:rPr>
          <w:rFonts w:ascii="Times New Roman" w:hAnsi="Times New Roman" w:cs="Times New Roman"/>
          <w:i/>
        </w:rPr>
        <w:t>l.c</w:t>
      </w:r>
      <w:r w:rsidRPr="00DA4D50">
        <w:rPr>
          <w:rFonts w:ascii="Times New Roman" w:hAnsi="Times New Roman" w:cs="Times New Roman"/>
        </w:rPr>
        <w:t>., 1150-1151.</w:t>
      </w:r>
    </w:p>
  </w:footnote>
  <w:footnote w:id="4">
    <w:p w14:paraId="173E6994" w14:textId="77777777" w:rsidR="00ED3DAA" w:rsidRPr="00DA4D50" w:rsidRDefault="00ED3DAA" w:rsidP="00DA4D50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DA4D50">
        <w:rPr>
          <w:rStyle w:val="FootnoteReference"/>
          <w:rFonts w:ascii="Times New Roman" w:hAnsi="Times New Roman" w:cs="Times New Roman"/>
        </w:rPr>
        <w:footnoteRef/>
      </w:r>
      <w:r w:rsidRPr="00DA4D50">
        <w:rPr>
          <w:rFonts w:ascii="Times New Roman" w:hAnsi="Times New Roman" w:cs="Times New Roman"/>
        </w:rPr>
        <w:t xml:space="preserve"> </w:t>
      </w:r>
      <w:r w:rsidRPr="00DA4D50">
        <w:rPr>
          <w:rFonts w:ascii="Times New Roman" w:hAnsi="Times New Roman" w:cs="Times New Roman"/>
        </w:rPr>
        <w:t xml:space="preserve">João Paulo II, </w:t>
      </w:r>
      <w:proofErr w:type="spellStart"/>
      <w:r w:rsidRPr="00DA4D50">
        <w:rPr>
          <w:rFonts w:ascii="Times New Roman" w:hAnsi="Times New Roman" w:cs="Times New Roman"/>
        </w:rPr>
        <w:t>Exort</w:t>
      </w:r>
      <w:proofErr w:type="spellEnd"/>
      <w:r w:rsidRPr="00DA4D50">
        <w:rPr>
          <w:rFonts w:ascii="Times New Roman" w:hAnsi="Times New Roman" w:cs="Times New Roman"/>
        </w:rPr>
        <w:t xml:space="preserve">. ap. pós-sinodal </w:t>
      </w:r>
      <w:r w:rsidRPr="00DA4D50">
        <w:rPr>
          <w:rFonts w:ascii="Times New Roman" w:hAnsi="Times New Roman" w:cs="Times New Roman"/>
          <w:i/>
          <w:lang w:val="fi-FI"/>
        </w:rPr>
        <w:t>Pastores dabo vobis</w:t>
      </w:r>
      <w:r w:rsidRPr="00DA4D50">
        <w:rPr>
          <w:rFonts w:ascii="Times New Roman" w:hAnsi="Times New Roman" w:cs="Times New Roman"/>
        </w:rPr>
        <w:t>, 29.</w:t>
      </w:r>
    </w:p>
  </w:footnote>
  <w:footnote w:id="5">
    <w:p w14:paraId="50651FF2" w14:textId="77777777" w:rsidR="00ED3DAA" w:rsidRPr="00DA4D50" w:rsidRDefault="00ED3DAA" w:rsidP="00DA4D50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DA4D50">
        <w:rPr>
          <w:rStyle w:val="FootnoteReference"/>
          <w:rFonts w:ascii="Times New Roman" w:hAnsi="Times New Roman" w:cs="Times New Roman"/>
        </w:rPr>
        <w:footnoteRef/>
      </w:r>
      <w:r w:rsidRPr="00DA4D50">
        <w:rPr>
          <w:rFonts w:ascii="Times New Roman" w:hAnsi="Times New Roman" w:cs="Times New Roman"/>
        </w:rPr>
        <w:t xml:space="preserve"> </w:t>
      </w:r>
      <w:r w:rsidRPr="00DA4D50">
        <w:rPr>
          <w:rFonts w:ascii="Times New Roman" w:hAnsi="Times New Roman" w:cs="Times New Roman"/>
        </w:rPr>
        <w:t xml:space="preserve">Cf. Conc. </w:t>
      </w:r>
      <w:proofErr w:type="spellStart"/>
      <w:r w:rsidRPr="00DA4D50">
        <w:rPr>
          <w:rFonts w:ascii="Times New Roman" w:hAnsi="Times New Roman" w:cs="Times New Roman"/>
        </w:rPr>
        <w:t>Ecum</w:t>
      </w:r>
      <w:proofErr w:type="spellEnd"/>
      <w:r w:rsidRPr="00DA4D50">
        <w:rPr>
          <w:rFonts w:ascii="Times New Roman" w:hAnsi="Times New Roman" w:cs="Times New Roman"/>
        </w:rPr>
        <w:t xml:space="preserve">. Vat. II, Decr. </w:t>
      </w:r>
      <w:r w:rsidRPr="00DA4D50">
        <w:rPr>
          <w:rFonts w:ascii="Times New Roman" w:hAnsi="Times New Roman" w:cs="Times New Roman"/>
          <w:i/>
          <w:lang w:val="fi-FI"/>
        </w:rPr>
        <w:t>Optatam totius</w:t>
      </w:r>
      <w:r w:rsidRPr="00DA4D50">
        <w:rPr>
          <w:rFonts w:ascii="Times New Roman" w:hAnsi="Times New Roman" w:cs="Times New Roman"/>
        </w:rPr>
        <w:t xml:space="preserve">, 10; C.I.C, can. 247, § 1; Sagrada Congregação para a educação católica, </w:t>
      </w:r>
      <w:r w:rsidRPr="00DA4D50">
        <w:rPr>
          <w:rFonts w:ascii="Times New Roman" w:hAnsi="Times New Roman" w:cs="Times New Roman"/>
          <w:i/>
          <w:lang w:val="fi-FI"/>
        </w:rPr>
        <w:t xml:space="preserve">Ratio Fundamentalis Institutionis Sacerdotalis </w:t>
      </w:r>
      <w:r w:rsidRPr="00DA4D50">
        <w:rPr>
          <w:rFonts w:ascii="Times New Roman" w:hAnsi="Times New Roman" w:cs="Times New Roman"/>
        </w:rPr>
        <w:t xml:space="preserve">(19 de março de 1985), 48; </w:t>
      </w:r>
      <w:r w:rsidRPr="00DA4D50">
        <w:rPr>
          <w:rFonts w:ascii="Times New Roman" w:hAnsi="Times New Roman" w:cs="Times New Roman"/>
          <w:i/>
        </w:rPr>
        <w:t>Orientações educativas para a formação ao celibato sacerdotal</w:t>
      </w:r>
      <w:r w:rsidRPr="00DA4D50">
        <w:rPr>
          <w:rFonts w:ascii="Times New Roman" w:hAnsi="Times New Roman" w:cs="Times New Roman"/>
        </w:rPr>
        <w:t xml:space="preserve"> (11 de abril de 1974), 16: EV 5 (1974-1976), 200-201.</w:t>
      </w:r>
    </w:p>
  </w:footnote>
  <w:footnote w:id="6">
    <w:p w14:paraId="528754D7" w14:textId="77777777" w:rsidR="00ED3DAA" w:rsidRPr="00DA4D50" w:rsidRDefault="00ED3DAA" w:rsidP="00DA4D50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DA4D50">
        <w:rPr>
          <w:rStyle w:val="FootnoteReference"/>
          <w:rFonts w:ascii="Times New Roman" w:hAnsi="Times New Roman" w:cs="Times New Roman"/>
        </w:rPr>
        <w:footnoteRef/>
      </w:r>
      <w:r w:rsidRPr="00DA4D50">
        <w:rPr>
          <w:rFonts w:ascii="Times New Roman" w:hAnsi="Times New Roman" w:cs="Times New Roman"/>
        </w:rPr>
        <w:t xml:space="preserve"> </w:t>
      </w:r>
      <w:r w:rsidRPr="00DA4D50">
        <w:rPr>
          <w:rFonts w:ascii="Times New Roman" w:hAnsi="Times New Roman" w:cs="Times New Roman"/>
        </w:rPr>
        <w:t xml:space="preserve">Cf. Conc. </w:t>
      </w:r>
      <w:proofErr w:type="spellStart"/>
      <w:r w:rsidRPr="00DA4D50">
        <w:rPr>
          <w:rFonts w:ascii="Times New Roman" w:hAnsi="Times New Roman" w:cs="Times New Roman"/>
        </w:rPr>
        <w:t>Ecum</w:t>
      </w:r>
      <w:proofErr w:type="spellEnd"/>
      <w:r w:rsidRPr="00DA4D50">
        <w:rPr>
          <w:rFonts w:ascii="Times New Roman" w:hAnsi="Times New Roman" w:cs="Times New Roman"/>
        </w:rPr>
        <w:t xml:space="preserve">. Vat. II, Decr. </w:t>
      </w:r>
      <w:r w:rsidRPr="00DA4D50">
        <w:rPr>
          <w:rFonts w:ascii="Times New Roman" w:hAnsi="Times New Roman" w:cs="Times New Roman"/>
          <w:i/>
          <w:lang w:val="fi-FI"/>
        </w:rPr>
        <w:t>Presbyterorum Ordinis</w:t>
      </w:r>
      <w:r w:rsidRPr="00DA4D50">
        <w:rPr>
          <w:rFonts w:ascii="Times New Roman" w:hAnsi="Times New Roman" w:cs="Times New Roman"/>
        </w:rPr>
        <w:t xml:space="preserve">, 16; João Paulo II, </w:t>
      </w:r>
      <w:r w:rsidRPr="00DA4D50">
        <w:rPr>
          <w:rFonts w:ascii="Times New Roman" w:hAnsi="Times New Roman" w:cs="Times New Roman"/>
          <w:i/>
        </w:rPr>
        <w:t xml:space="preserve">Carta aos sacerdotes por ocasião da Quinta-feira Santa de 1979 </w:t>
      </w:r>
      <w:r w:rsidRPr="00DA4D50">
        <w:rPr>
          <w:rFonts w:ascii="Times New Roman" w:hAnsi="Times New Roman" w:cs="Times New Roman"/>
        </w:rPr>
        <w:t xml:space="preserve">(8 de abril de 1979), 8: l.c., 405-409; </w:t>
      </w:r>
      <w:proofErr w:type="spellStart"/>
      <w:r w:rsidRPr="00DA4D50">
        <w:rPr>
          <w:rFonts w:ascii="Times New Roman" w:hAnsi="Times New Roman" w:cs="Times New Roman"/>
        </w:rPr>
        <w:t>Exort</w:t>
      </w:r>
      <w:proofErr w:type="spellEnd"/>
      <w:r w:rsidRPr="00DA4D50">
        <w:rPr>
          <w:rFonts w:ascii="Times New Roman" w:hAnsi="Times New Roman" w:cs="Times New Roman"/>
        </w:rPr>
        <w:t xml:space="preserve">. ap. pós-sinodal </w:t>
      </w:r>
      <w:r w:rsidRPr="00DA4D50">
        <w:rPr>
          <w:rFonts w:ascii="Times New Roman" w:hAnsi="Times New Roman" w:cs="Times New Roman"/>
          <w:i/>
          <w:lang w:val="fi-FI"/>
        </w:rPr>
        <w:t>Pastores dabo vobis</w:t>
      </w:r>
      <w:r w:rsidRPr="00DA4D50">
        <w:rPr>
          <w:rFonts w:ascii="Times New Roman" w:hAnsi="Times New Roman" w:cs="Times New Roman"/>
        </w:rPr>
        <w:t xml:space="preserve">, 29; </w:t>
      </w:r>
      <w:r w:rsidRPr="00DA4D50">
        <w:rPr>
          <w:rFonts w:ascii="Times New Roman" w:hAnsi="Times New Roman" w:cs="Times New Roman"/>
          <w:i/>
        </w:rPr>
        <w:t>C.I.C,</w:t>
      </w:r>
      <w:r w:rsidRPr="00DA4D50">
        <w:rPr>
          <w:rFonts w:ascii="Times New Roman" w:hAnsi="Times New Roman" w:cs="Times New Roman"/>
        </w:rPr>
        <w:t xml:space="preserve"> can. 277, § 1.</w:t>
      </w:r>
    </w:p>
  </w:footnote>
  <w:footnote w:id="7">
    <w:p w14:paraId="2CCE9259" w14:textId="77777777" w:rsidR="00ED3DAA" w:rsidRPr="00DA4D50" w:rsidRDefault="00ED3DAA" w:rsidP="00DA4D50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DA4D50">
        <w:rPr>
          <w:rStyle w:val="FootnoteReference"/>
          <w:rFonts w:ascii="Times New Roman" w:hAnsi="Times New Roman" w:cs="Times New Roman"/>
        </w:rPr>
        <w:footnoteRef/>
      </w:r>
      <w:r w:rsidRPr="00DA4D50">
        <w:rPr>
          <w:rFonts w:ascii="Times New Roman" w:hAnsi="Times New Roman" w:cs="Times New Roman"/>
        </w:rPr>
        <w:t xml:space="preserve"> </w:t>
      </w:r>
      <w:r w:rsidRPr="00DA4D50">
        <w:rPr>
          <w:rFonts w:ascii="Times New Roman" w:hAnsi="Times New Roman" w:cs="Times New Roman"/>
        </w:rPr>
        <w:t xml:space="preserve">Paulo VI, Carta enc. </w:t>
      </w:r>
      <w:r w:rsidRPr="00DA4D50">
        <w:rPr>
          <w:rFonts w:ascii="Times New Roman" w:hAnsi="Times New Roman" w:cs="Times New Roman"/>
          <w:i/>
          <w:lang w:val="fi-FI"/>
        </w:rPr>
        <w:t>Sacerdotalis cælibatus</w:t>
      </w:r>
      <w:r w:rsidRPr="00DA4D50">
        <w:rPr>
          <w:rFonts w:ascii="Times New Roman" w:hAnsi="Times New Roman" w:cs="Times New Roman"/>
        </w:rPr>
        <w:t xml:space="preserve"> (24 de junho de 1967), 55.</w:t>
      </w:r>
    </w:p>
  </w:footnote>
  <w:footnote w:id="8">
    <w:p w14:paraId="0BD13CCC" w14:textId="77777777" w:rsidR="00ED3DAA" w:rsidRPr="00DA4D50" w:rsidRDefault="00ED3DAA" w:rsidP="00DA4D50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DA4D50">
        <w:rPr>
          <w:rStyle w:val="FootnoteReference"/>
          <w:rFonts w:ascii="Times New Roman" w:hAnsi="Times New Roman" w:cs="Times New Roman"/>
        </w:rPr>
        <w:footnoteRef/>
      </w:r>
      <w:r w:rsidRPr="00DA4D50">
        <w:rPr>
          <w:rFonts w:ascii="Times New Roman" w:hAnsi="Times New Roman" w:cs="Times New Roman"/>
        </w:rPr>
        <w:t xml:space="preserve"> </w:t>
      </w:r>
      <w:r w:rsidRPr="00DA4D50">
        <w:rPr>
          <w:rFonts w:ascii="Times New Roman" w:hAnsi="Times New Roman" w:cs="Times New Roman"/>
        </w:rPr>
        <w:t xml:space="preserve">Cf. Conc. </w:t>
      </w:r>
      <w:proofErr w:type="spellStart"/>
      <w:r w:rsidRPr="00DA4D50">
        <w:rPr>
          <w:rFonts w:ascii="Times New Roman" w:hAnsi="Times New Roman" w:cs="Times New Roman"/>
        </w:rPr>
        <w:t>Ecum</w:t>
      </w:r>
      <w:proofErr w:type="spellEnd"/>
      <w:r w:rsidRPr="00DA4D50">
        <w:rPr>
          <w:rFonts w:ascii="Times New Roman" w:hAnsi="Times New Roman" w:cs="Times New Roman"/>
        </w:rPr>
        <w:t xml:space="preserve">. Vat. II, Decr. </w:t>
      </w:r>
      <w:r w:rsidRPr="00DA4D50">
        <w:rPr>
          <w:rFonts w:ascii="Times New Roman" w:hAnsi="Times New Roman" w:cs="Times New Roman"/>
          <w:i/>
          <w:lang w:val="fi-FI"/>
        </w:rPr>
        <w:t>Presbyterorum Ordinis</w:t>
      </w:r>
      <w:r w:rsidRPr="00DA4D50">
        <w:rPr>
          <w:rFonts w:ascii="Times New Roman" w:hAnsi="Times New Roman" w:cs="Times New Roman"/>
        </w:rPr>
        <w:t xml:space="preserve">, 16; Paulo VI, Carta enc. </w:t>
      </w:r>
      <w:r w:rsidRPr="00DA4D50">
        <w:rPr>
          <w:rFonts w:ascii="Times New Roman" w:hAnsi="Times New Roman" w:cs="Times New Roman"/>
          <w:i/>
          <w:lang w:val="fi-FI"/>
        </w:rPr>
        <w:t>Sacerdotalis cælibatus</w:t>
      </w:r>
      <w:r w:rsidRPr="00DA4D50">
        <w:rPr>
          <w:rFonts w:ascii="Times New Roman" w:hAnsi="Times New Roman" w:cs="Times New Roman"/>
        </w:rPr>
        <w:t xml:space="preserve"> (24 de junho de 1967), 14.</w:t>
      </w:r>
    </w:p>
  </w:footnote>
  <w:footnote w:id="9">
    <w:p w14:paraId="75161720" w14:textId="77777777" w:rsidR="00ED3DAA" w:rsidRPr="00DA4D50" w:rsidRDefault="00ED3DAA" w:rsidP="00DA4D50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DA4D50">
        <w:rPr>
          <w:rStyle w:val="FootnoteReference"/>
          <w:rFonts w:ascii="Times New Roman" w:hAnsi="Times New Roman" w:cs="Times New Roman"/>
        </w:rPr>
        <w:footnoteRef/>
      </w:r>
      <w:r w:rsidRPr="00DA4D50">
        <w:rPr>
          <w:rFonts w:ascii="Times New Roman" w:hAnsi="Times New Roman" w:cs="Times New Roman"/>
        </w:rPr>
        <w:t xml:space="preserve"> </w:t>
      </w:r>
      <w:r w:rsidRPr="00DA4D50">
        <w:rPr>
          <w:rFonts w:ascii="Times New Roman" w:hAnsi="Times New Roman" w:cs="Times New Roman"/>
        </w:rPr>
        <w:t xml:space="preserve">Cf. Conc. </w:t>
      </w:r>
      <w:proofErr w:type="spellStart"/>
      <w:r w:rsidRPr="00DA4D50">
        <w:rPr>
          <w:rFonts w:ascii="Times New Roman" w:hAnsi="Times New Roman" w:cs="Times New Roman"/>
        </w:rPr>
        <w:t>Ecum</w:t>
      </w:r>
      <w:proofErr w:type="spellEnd"/>
      <w:r w:rsidRPr="00DA4D50">
        <w:rPr>
          <w:rFonts w:ascii="Times New Roman" w:hAnsi="Times New Roman" w:cs="Times New Roman"/>
        </w:rPr>
        <w:t xml:space="preserve">. Vat. II, Decr. </w:t>
      </w:r>
      <w:r w:rsidRPr="00DA4D50">
        <w:rPr>
          <w:rFonts w:ascii="Times New Roman" w:hAnsi="Times New Roman" w:cs="Times New Roman"/>
          <w:i/>
          <w:lang w:val="fi-FI"/>
        </w:rPr>
        <w:t>Presbyterorum Ordinis</w:t>
      </w:r>
      <w:r w:rsidRPr="00DA4D50">
        <w:rPr>
          <w:rFonts w:ascii="Times New Roman" w:hAnsi="Times New Roman" w:cs="Times New Roman"/>
        </w:rPr>
        <w:t xml:space="preserve">, 16; </w:t>
      </w:r>
      <w:r w:rsidRPr="00DA4D50">
        <w:rPr>
          <w:rFonts w:ascii="Times New Roman" w:hAnsi="Times New Roman" w:cs="Times New Roman"/>
          <w:i/>
        </w:rPr>
        <w:t>C.I.C,</w:t>
      </w:r>
      <w:r w:rsidRPr="00DA4D50">
        <w:rPr>
          <w:rFonts w:ascii="Times New Roman" w:hAnsi="Times New Roman" w:cs="Times New Roman"/>
        </w:rPr>
        <w:t xml:space="preserve"> </w:t>
      </w:r>
      <w:proofErr w:type="spellStart"/>
      <w:r w:rsidRPr="00DA4D50">
        <w:rPr>
          <w:rFonts w:ascii="Times New Roman" w:hAnsi="Times New Roman" w:cs="Times New Roman"/>
        </w:rPr>
        <w:t>cann</w:t>
      </w:r>
      <w:proofErr w:type="spellEnd"/>
      <w:r w:rsidRPr="00DA4D50">
        <w:rPr>
          <w:rFonts w:ascii="Times New Roman" w:hAnsi="Times New Roman" w:cs="Times New Roman"/>
        </w:rPr>
        <w:t>. 1036; 1037.</w:t>
      </w:r>
    </w:p>
  </w:footnote>
  <w:footnote w:id="10">
    <w:p w14:paraId="6B822F97" w14:textId="77777777" w:rsidR="00ED3DAA" w:rsidRPr="00DA4D50" w:rsidRDefault="00ED3DAA" w:rsidP="00DA4D50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DA4D50">
        <w:rPr>
          <w:rStyle w:val="FootnoteReference"/>
          <w:rFonts w:ascii="Times New Roman" w:hAnsi="Times New Roman" w:cs="Times New Roman"/>
        </w:rPr>
        <w:footnoteRef/>
      </w:r>
      <w:r w:rsidRPr="00DA4D50">
        <w:rPr>
          <w:rFonts w:ascii="Times New Roman" w:hAnsi="Times New Roman" w:cs="Times New Roman"/>
        </w:rPr>
        <w:t xml:space="preserve"> </w:t>
      </w:r>
      <w:r w:rsidRPr="00DA4D50">
        <w:rPr>
          <w:rFonts w:ascii="Times New Roman" w:hAnsi="Times New Roman" w:cs="Times New Roman"/>
        </w:rPr>
        <w:t xml:space="preserve">Cf. </w:t>
      </w:r>
      <w:r w:rsidRPr="00DA4D50">
        <w:rPr>
          <w:rFonts w:ascii="Times New Roman" w:hAnsi="Times New Roman" w:cs="Times New Roman"/>
          <w:i/>
          <w:lang w:val="fi-FI"/>
        </w:rPr>
        <w:t>Pontificale Romanum, De ordinatione Episcopi, Presbyterorum et Diaconorum,</w:t>
      </w:r>
      <w:r w:rsidRPr="00DA4D50">
        <w:rPr>
          <w:rFonts w:ascii="Times New Roman" w:hAnsi="Times New Roman" w:cs="Times New Roman"/>
        </w:rPr>
        <w:t xml:space="preserve"> III, 228, l.c., 134; João Paulo II, </w:t>
      </w:r>
      <w:r w:rsidRPr="00DA4D50">
        <w:rPr>
          <w:rFonts w:ascii="Times New Roman" w:hAnsi="Times New Roman" w:cs="Times New Roman"/>
          <w:i/>
        </w:rPr>
        <w:t>Carta aos sacerdotes por ocasião da Quinta-feira Santa de 1979</w:t>
      </w:r>
      <w:r w:rsidRPr="00DA4D50">
        <w:rPr>
          <w:rFonts w:ascii="Times New Roman" w:hAnsi="Times New Roman" w:cs="Times New Roman"/>
        </w:rPr>
        <w:t xml:space="preserve"> (8 de abril de 1979), 9: l.c., 409-411.</w:t>
      </w:r>
    </w:p>
  </w:footnote>
  <w:footnote w:id="11">
    <w:p w14:paraId="7C68B58E" w14:textId="77777777" w:rsidR="00ED3DAA" w:rsidRPr="00DA4D50" w:rsidRDefault="00ED3DAA" w:rsidP="00DA4D50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DA4D50">
        <w:rPr>
          <w:rStyle w:val="FootnoteReference"/>
          <w:rFonts w:ascii="Times New Roman" w:hAnsi="Times New Roman" w:cs="Times New Roman"/>
        </w:rPr>
        <w:footnoteRef/>
      </w:r>
      <w:r w:rsidRPr="00DA4D50">
        <w:rPr>
          <w:rFonts w:ascii="Times New Roman" w:hAnsi="Times New Roman" w:cs="Times New Roman"/>
        </w:rPr>
        <w:t xml:space="preserve"> </w:t>
      </w:r>
      <w:r w:rsidRPr="00DA4D50">
        <w:rPr>
          <w:rFonts w:ascii="Times New Roman" w:hAnsi="Times New Roman" w:cs="Times New Roman"/>
        </w:rPr>
        <w:t xml:space="preserve">Cf. Sínodo dos Bispos, Documento sobre o sacerdócio ministerial </w:t>
      </w:r>
      <w:r w:rsidRPr="00DA4D50">
        <w:rPr>
          <w:rFonts w:ascii="Times New Roman" w:hAnsi="Times New Roman" w:cs="Times New Roman"/>
          <w:i/>
          <w:lang w:val="fi-FI"/>
        </w:rPr>
        <w:t xml:space="preserve">Ultimis temporibus </w:t>
      </w:r>
      <w:r w:rsidRPr="00DA4D50">
        <w:rPr>
          <w:rFonts w:ascii="Times New Roman" w:hAnsi="Times New Roman" w:cs="Times New Roman"/>
        </w:rPr>
        <w:t xml:space="preserve">(30 de novembro de 1971), II, I, 4: </w:t>
      </w:r>
      <w:r w:rsidRPr="00DE4F54">
        <w:rPr>
          <w:rFonts w:ascii="Times New Roman" w:hAnsi="Times New Roman" w:cs="Times New Roman"/>
          <w:i/>
        </w:rPr>
        <w:t>l.c.</w:t>
      </w:r>
      <w:r w:rsidRPr="00DA4D50">
        <w:rPr>
          <w:rFonts w:ascii="Times New Roman" w:hAnsi="Times New Roman" w:cs="Times New Roman"/>
        </w:rPr>
        <w:t>, 916-917.</w:t>
      </w:r>
    </w:p>
  </w:footnote>
  <w:footnote w:id="12">
    <w:p w14:paraId="5809F29C" w14:textId="77777777" w:rsidR="00ED3DAA" w:rsidRPr="00DA4D50" w:rsidRDefault="00ED3DAA" w:rsidP="00DA4D50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DA4D50">
        <w:rPr>
          <w:rStyle w:val="FootnoteReference"/>
          <w:rFonts w:ascii="Times New Roman" w:hAnsi="Times New Roman" w:cs="Times New Roman"/>
        </w:rPr>
        <w:footnoteRef/>
      </w:r>
      <w:r w:rsidRPr="00DA4D50">
        <w:rPr>
          <w:rFonts w:ascii="Times New Roman" w:hAnsi="Times New Roman" w:cs="Times New Roman"/>
        </w:rPr>
        <w:t xml:space="preserve"> </w:t>
      </w:r>
      <w:r w:rsidRPr="00DA4D50">
        <w:rPr>
          <w:rFonts w:ascii="Times New Roman" w:hAnsi="Times New Roman" w:cs="Times New Roman"/>
        </w:rPr>
        <w:t xml:space="preserve">Cf. Conc. </w:t>
      </w:r>
      <w:proofErr w:type="spellStart"/>
      <w:r w:rsidRPr="00DA4D50">
        <w:rPr>
          <w:rFonts w:ascii="Times New Roman" w:hAnsi="Times New Roman" w:cs="Times New Roman"/>
        </w:rPr>
        <w:t>Ecum</w:t>
      </w:r>
      <w:proofErr w:type="spellEnd"/>
      <w:r w:rsidRPr="00DA4D50">
        <w:rPr>
          <w:rFonts w:ascii="Times New Roman" w:hAnsi="Times New Roman" w:cs="Times New Roman"/>
        </w:rPr>
        <w:t xml:space="preserve">. Vat. II, Decr. </w:t>
      </w:r>
      <w:r w:rsidRPr="00DA4D50">
        <w:rPr>
          <w:rFonts w:ascii="Times New Roman" w:hAnsi="Times New Roman" w:cs="Times New Roman"/>
          <w:i/>
          <w:lang w:val="fi-FI"/>
        </w:rPr>
        <w:t>Presbyterorum Ordinis</w:t>
      </w:r>
      <w:r w:rsidRPr="00DA4D50">
        <w:rPr>
          <w:rFonts w:ascii="Times New Roman" w:hAnsi="Times New Roman" w:cs="Times New Roman"/>
        </w:rPr>
        <w:t>, 16.</w:t>
      </w:r>
    </w:p>
  </w:footnote>
  <w:footnote w:id="13">
    <w:p w14:paraId="10AD256A" w14:textId="77777777" w:rsidR="00ED3DAA" w:rsidRPr="00DA4D50" w:rsidRDefault="00ED3DAA" w:rsidP="00DA4D50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DA4D50">
        <w:rPr>
          <w:rStyle w:val="FootnoteReference"/>
          <w:rFonts w:ascii="Times New Roman" w:hAnsi="Times New Roman" w:cs="Times New Roman"/>
        </w:rPr>
        <w:footnoteRef/>
      </w:r>
      <w:r w:rsidRPr="00DA4D50">
        <w:rPr>
          <w:rFonts w:ascii="Times New Roman" w:hAnsi="Times New Roman" w:cs="Times New Roman"/>
        </w:rPr>
        <w:t xml:space="preserve"> </w:t>
      </w:r>
      <w:r w:rsidRPr="00DA4D50">
        <w:rPr>
          <w:rFonts w:ascii="Times New Roman" w:hAnsi="Times New Roman" w:cs="Times New Roman"/>
        </w:rPr>
        <w:t xml:space="preserve">Cf. </w:t>
      </w:r>
      <w:r w:rsidRPr="00DA4D50">
        <w:rPr>
          <w:rFonts w:ascii="Times New Roman" w:hAnsi="Times New Roman" w:cs="Times New Roman"/>
          <w:i/>
        </w:rPr>
        <w:t>ibid</w:t>
      </w:r>
      <w:r w:rsidRPr="00DA4D50">
        <w:rPr>
          <w:rFonts w:ascii="Times New Roman" w:hAnsi="Times New Roman" w:cs="Times New Roman"/>
        </w:rPr>
        <w:t>.</w:t>
      </w:r>
    </w:p>
  </w:footnote>
  <w:footnote w:id="14">
    <w:p w14:paraId="5D8105B5" w14:textId="77777777" w:rsidR="00ED3DAA" w:rsidRPr="00DA4D50" w:rsidRDefault="00ED3DAA" w:rsidP="00DA4D50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DA4D50">
        <w:rPr>
          <w:rStyle w:val="FootnoteReference"/>
          <w:rFonts w:ascii="Times New Roman" w:hAnsi="Times New Roman" w:cs="Times New Roman"/>
        </w:rPr>
        <w:footnoteRef/>
      </w:r>
      <w:r w:rsidRPr="00DA4D50">
        <w:rPr>
          <w:rFonts w:ascii="Times New Roman" w:hAnsi="Times New Roman" w:cs="Times New Roman"/>
        </w:rPr>
        <w:t xml:space="preserve"> </w:t>
      </w:r>
      <w:r w:rsidRPr="00DA4D50">
        <w:rPr>
          <w:rFonts w:ascii="Times New Roman" w:hAnsi="Times New Roman" w:cs="Times New Roman"/>
        </w:rPr>
        <w:t xml:space="preserve">João Paulo II, </w:t>
      </w:r>
      <w:r w:rsidRPr="00DA4D50">
        <w:rPr>
          <w:rFonts w:ascii="Times New Roman" w:hAnsi="Times New Roman" w:cs="Times New Roman"/>
          <w:i/>
        </w:rPr>
        <w:t>Carta aos sacerdotes por ocasião da Quinta-feira Santa</w:t>
      </w:r>
      <w:r w:rsidRPr="00DA4D50">
        <w:rPr>
          <w:rFonts w:ascii="Times New Roman" w:hAnsi="Times New Roman" w:cs="Times New Roman"/>
        </w:rPr>
        <w:t xml:space="preserve"> (8 de abril de 1979), 8: </w:t>
      </w:r>
      <w:r w:rsidRPr="00DA4D50">
        <w:rPr>
          <w:rFonts w:ascii="Times New Roman" w:hAnsi="Times New Roman" w:cs="Times New Roman"/>
          <w:i/>
          <w:lang w:val="it-IT"/>
        </w:rPr>
        <w:t>Insegnamenti</w:t>
      </w:r>
      <w:r w:rsidRPr="00DA4D50">
        <w:rPr>
          <w:rFonts w:ascii="Times New Roman" w:hAnsi="Times New Roman" w:cs="Times New Roman"/>
        </w:rPr>
        <w:t xml:space="preserve"> II/1 (1979), 841-862.</w:t>
      </w:r>
    </w:p>
  </w:footnote>
  <w:footnote w:id="15">
    <w:p w14:paraId="39C4E56B" w14:textId="77777777" w:rsidR="00ED3DAA" w:rsidRPr="00DA4D50" w:rsidRDefault="00ED3DAA" w:rsidP="00DA4D50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DA4D50">
        <w:rPr>
          <w:rStyle w:val="FootnoteReference"/>
          <w:rFonts w:ascii="Times New Roman" w:hAnsi="Times New Roman" w:cs="Times New Roman"/>
        </w:rPr>
        <w:footnoteRef/>
      </w:r>
      <w:r w:rsidRPr="00DA4D50">
        <w:rPr>
          <w:rFonts w:ascii="Times New Roman" w:hAnsi="Times New Roman" w:cs="Times New Roman"/>
        </w:rPr>
        <w:t xml:space="preserve"> </w:t>
      </w:r>
      <w:r w:rsidRPr="00DA4D50">
        <w:rPr>
          <w:rFonts w:ascii="Times New Roman" w:hAnsi="Times New Roman" w:cs="Times New Roman"/>
        </w:rPr>
        <w:t xml:space="preserve">Cf. João Paulo II, </w:t>
      </w:r>
      <w:proofErr w:type="spellStart"/>
      <w:r w:rsidRPr="00DA4D50">
        <w:rPr>
          <w:rFonts w:ascii="Times New Roman" w:hAnsi="Times New Roman" w:cs="Times New Roman"/>
        </w:rPr>
        <w:t>Exort</w:t>
      </w:r>
      <w:proofErr w:type="spellEnd"/>
      <w:r w:rsidRPr="00DA4D50">
        <w:rPr>
          <w:rFonts w:ascii="Times New Roman" w:hAnsi="Times New Roman" w:cs="Times New Roman"/>
        </w:rPr>
        <w:t xml:space="preserve">. ap. pós-sinodal </w:t>
      </w:r>
      <w:r w:rsidRPr="00DA4D50">
        <w:rPr>
          <w:rFonts w:ascii="Times New Roman" w:hAnsi="Times New Roman" w:cs="Times New Roman"/>
          <w:i/>
          <w:lang w:val="fi-FI"/>
        </w:rPr>
        <w:t>Pastores dabo vobis</w:t>
      </w:r>
      <w:r w:rsidRPr="00DA4D50">
        <w:rPr>
          <w:rFonts w:ascii="Times New Roman" w:hAnsi="Times New Roman" w:cs="Times New Roman"/>
        </w:rPr>
        <w:t>, 29.</w:t>
      </w:r>
    </w:p>
  </w:footnote>
  <w:footnote w:id="16">
    <w:p w14:paraId="51A20C97" w14:textId="77777777" w:rsidR="00ED3DAA" w:rsidRPr="00DA4D50" w:rsidRDefault="00ED3DAA" w:rsidP="00DA4D50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DE4F54">
        <w:rPr>
          <w:rStyle w:val="FootnoteReference"/>
          <w:rFonts w:ascii="Times New Roman" w:hAnsi="Times New Roman" w:cs="Times New Roman"/>
          <w:highlight w:val="yellow"/>
        </w:rPr>
        <w:footnoteRef/>
      </w:r>
      <w:r w:rsidRPr="00DE4F54">
        <w:rPr>
          <w:rFonts w:ascii="Times New Roman" w:hAnsi="Times New Roman" w:cs="Times New Roman"/>
          <w:highlight w:val="yellow"/>
        </w:rPr>
        <w:t xml:space="preserve"> </w:t>
      </w:r>
      <w:r w:rsidRPr="00DE4F54">
        <w:rPr>
          <w:rFonts w:ascii="Times New Roman" w:hAnsi="Times New Roman" w:cs="Times New Roman"/>
          <w:highlight w:val="yellow"/>
        </w:rPr>
        <w:t>Para a interpretação destes textos, cf. Conc. de</w:t>
      </w:r>
      <w:bookmarkStart w:id="1" w:name="_GoBack"/>
      <w:bookmarkEnd w:id="1"/>
      <w:r w:rsidRPr="00DE4F54">
        <w:rPr>
          <w:rFonts w:ascii="Times New Roman" w:hAnsi="Times New Roman" w:cs="Times New Roman"/>
          <w:highlight w:val="yellow"/>
        </w:rPr>
        <w:t xml:space="preserve"> Elvira (a. 305), </w:t>
      </w:r>
      <w:proofErr w:type="spellStart"/>
      <w:r w:rsidRPr="00DE4F54">
        <w:rPr>
          <w:rFonts w:ascii="Times New Roman" w:hAnsi="Times New Roman" w:cs="Times New Roman"/>
          <w:highlight w:val="yellow"/>
        </w:rPr>
        <w:t>cann</w:t>
      </w:r>
      <w:proofErr w:type="spellEnd"/>
      <w:r w:rsidRPr="00DE4F54">
        <w:rPr>
          <w:rFonts w:ascii="Times New Roman" w:hAnsi="Times New Roman" w:cs="Times New Roman"/>
          <w:highlight w:val="yellow"/>
        </w:rPr>
        <w:t xml:space="preserve">. 27; 33: </w:t>
      </w:r>
      <w:proofErr w:type="spellStart"/>
      <w:r w:rsidRPr="00DE4F54">
        <w:rPr>
          <w:rFonts w:ascii="Times New Roman" w:hAnsi="Times New Roman" w:cs="Times New Roman"/>
          <w:highlight w:val="yellow"/>
        </w:rPr>
        <w:t>Bruns</w:t>
      </w:r>
      <w:proofErr w:type="spellEnd"/>
      <w:r w:rsidRPr="00DE4F54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DE4F54">
        <w:rPr>
          <w:rFonts w:ascii="Times New Roman" w:hAnsi="Times New Roman" w:cs="Times New Roman"/>
          <w:highlight w:val="yellow"/>
        </w:rPr>
        <w:t>Herm</w:t>
      </w:r>
      <w:proofErr w:type="spellEnd"/>
      <w:r w:rsidRPr="00DE4F54">
        <w:rPr>
          <w:rFonts w:ascii="Times New Roman" w:hAnsi="Times New Roman" w:cs="Times New Roman"/>
          <w:highlight w:val="yellow"/>
        </w:rPr>
        <w:t xml:space="preserve">., </w:t>
      </w:r>
      <w:r w:rsidRPr="00DE4F54">
        <w:rPr>
          <w:rFonts w:ascii="Times New Roman" w:hAnsi="Times New Roman" w:cs="Times New Roman"/>
          <w:i/>
          <w:highlight w:val="yellow"/>
          <w:lang w:val="fi-FI"/>
        </w:rPr>
        <w:t>Canones Apostolorum et Conciliorum sæc. IV-VI II</w:t>
      </w:r>
      <w:r w:rsidRPr="00DE4F54">
        <w:rPr>
          <w:rFonts w:ascii="Times New Roman" w:hAnsi="Times New Roman" w:cs="Times New Roman"/>
          <w:highlight w:val="yellow"/>
        </w:rPr>
        <w:t xml:space="preserve">, 5-6; Conc. de </w:t>
      </w:r>
      <w:proofErr w:type="spellStart"/>
      <w:r w:rsidRPr="00DE4F54">
        <w:rPr>
          <w:rFonts w:ascii="Times New Roman" w:hAnsi="Times New Roman" w:cs="Times New Roman"/>
          <w:highlight w:val="yellow"/>
        </w:rPr>
        <w:t>Neocesarea</w:t>
      </w:r>
      <w:proofErr w:type="spellEnd"/>
      <w:r w:rsidRPr="00DE4F54">
        <w:rPr>
          <w:rFonts w:ascii="Times New Roman" w:hAnsi="Times New Roman" w:cs="Times New Roman"/>
          <w:highlight w:val="yellow"/>
        </w:rPr>
        <w:t xml:space="preserve"> (a. 314), can. 1: </w:t>
      </w:r>
      <w:proofErr w:type="spellStart"/>
      <w:r w:rsidRPr="00DE4F54">
        <w:rPr>
          <w:rFonts w:ascii="Times New Roman" w:hAnsi="Times New Roman" w:cs="Times New Roman"/>
          <w:i/>
          <w:highlight w:val="yellow"/>
          <w:lang w:val="fi-FI"/>
        </w:rPr>
        <w:t>Pont</w:t>
      </w:r>
      <w:proofErr w:type="spellEnd"/>
      <w:r w:rsidRPr="00DE4F54">
        <w:rPr>
          <w:rFonts w:ascii="Times New Roman" w:hAnsi="Times New Roman" w:cs="Times New Roman"/>
          <w:i/>
          <w:highlight w:val="yellow"/>
          <w:lang w:val="fi-FI"/>
        </w:rPr>
        <w:t>. Commissio ad redigendum CIC Orientalis</w:t>
      </w:r>
      <w:r w:rsidRPr="00DE4F54">
        <w:rPr>
          <w:rFonts w:ascii="Times New Roman" w:hAnsi="Times New Roman" w:cs="Times New Roman"/>
          <w:i/>
          <w:highlight w:val="yellow"/>
        </w:rPr>
        <w:t>, IX</w:t>
      </w:r>
      <w:r w:rsidRPr="00DE4F54">
        <w:rPr>
          <w:rFonts w:ascii="Times New Roman" w:hAnsi="Times New Roman" w:cs="Times New Roman"/>
          <w:highlight w:val="yellow"/>
        </w:rPr>
        <w:t xml:space="preserve">, I/2, 74-82; Conc. </w:t>
      </w:r>
      <w:proofErr w:type="spellStart"/>
      <w:r w:rsidRPr="00DE4F54">
        <w:rPr>
          <w:rFonts w:ascii="Times New Roman" w:hAnsi="Times New Roman" w:cs="Times New Roman"/>
          <w:highlight w:val="yellow"/>
        </w:rPr>
        <w:t>Ecum</w:t>
      </w:r>
      <w:proofErr w:type="spellEnd"/>
      <w:r w:rsidRPr="00DE4F54">
        <w:rPr>
          <w:rFonts w:ascii="Times New Roman" w:hAnsi="Times New Roman" w:cs="Times New Roman"/>
          <w:highlight w:val="yellow"/>
        </w:rPr>
        <w:t xml:space="preserve">. </w:t>
      </w:r>
      <w:proofErr w:type="spellStart"/>
      <w:r w:rsidRPr="00DE4F54">
        <w:rPr>
          <w:rFonts w:ascii="Times New Roman" w:hAnsi="Times New Roman" w:cs="Times New Roman"/>
          <w:highlight w:val="yellow"/>
        </w:rPr>
        <w:t>Niceno</w:t>
      </w:r>
      <w:proofErr w:type="spellEnd"/>
      <w:r w:rsidRPr="00DE4F54">
        <w:rPr>
          <w:rFonts w:ascii="Times New Roman" w:hAnsi="Times New Roman" w:cs="Times New Roman"/>
          <w:highlight w:val="yellow"/>
        </w:rPr>
        <w:t xml:space="preserve"> I (a. 325), can. 3</w:t>
      </w:r>
      <w:r w:rsidRPr="00DE4F54">
        <w:rPr>
          <w:rFonts w:ascii="Times New Roman" w:hAnsi="Times New Roman" w:cs="Times New Roman"/>
          <w:i/>
          <w:highlight w:val="yellow"/>
        </w:rPr>
        <w:t xml:space="preserve">: Conc. </w:t>
      </w:r>
      <w:proofErr w:type="spellStart"/>
      <w:r w:rsidR="00DA4D50" w:rsidRPr="00DE4F54">
        <w:rPr>
          <w:rFonts w:ascii="Times New Roman" w:hAnsi="Times New Roman" w:cs="Times New Roman"/>
          <w:highlight w:val="yellow"/>
        </w:rPr>
        <w:t>Œ</w:t>
      </w:r>
      <w:r w:rsidRPr="00DE4F54">
        <w:rPr>
          <w:rFonts w:ascii="Times New Roman" w:hAnsi="Times New Roman" w:cs="Times New Roman"/>
          <w:i/>
          <w:highlight w:val="yellow"/>
        </w:rPr>
        <w:t>cum</w:t>
      </w:r>
      <w:proofErr w:type="spellEnd"/>
      <w:r w:rsidRPr="00DE4F54">
        <w:rPr>
          <w:rFonts w:ascii="Times New Roman" w:hAnsi="Times New Roman" w:cs="Times New Roman"/>
          <w:i/>
          <w:highlight w:val="yellow"/>
        </w:rPr>
        <w:t>. Decr</w:t>
      </w:r>
      <w:r w:rsidRPr="00DE4F54">
        <w:rPr>
          <w:rFonts w:ascii="Times New Roman" w:hAnsi="Times New Roman" w:cs="Times New Roman"/>
          <w:highlight w:val="yellow"/>
        </w:rPr>
        <w:t>., 6; Conc. de Cartago (a.</w:t>
      </w:r>
      <w:r w:rsidRPr="00DA4D50">
        <w:rPr>
          <w:rFonts w:ascii="Times New Roman" w:hAnsi="Times New Roman" w:cs="Times New Roman"/>
        </w:rPr>
        <w:t xml:space="preserve"> </w:t>
      </w:r>
      <w:r w:rsidRPr="00DE4F54">
        <w:rPr>
          <w:rFonts w:ascii="Times New Roman" w:hAnsi="Times New Roman" w:cs="Times New Roman"/>
          <w:highlight w:val="yellow"/>
        </w:rPr>
        <w:t xml:space="preserve">390): </w:t>
      </w:r>
      <w:r w:rsidRPr="00DE4F54">
        <w:rPr>
          <w:rFonts w:ascii="Times New Roman" w:hAnsi="Times New Roman" w:cs="Times New Roman"/>
          <w:i/>
          <w:highlight w:val="yellow"/>
          <w:lang w:val="fi-FI"/>
        </w:rPr>
        <w:t>Concilia Africæ</w:t>
      </w:r>
      <w:r w:rsidRPr="00DE4F54">
        <w:rPr>
          <w:rFonts w:ascii="Times New Roman" w:hAnsi="Times New Roman" w:cs="Times New Roman"/>
          <w:highlight w:val="yellow"/>
        </w:rPr>
        <w:t xml:space="preserve"> a. 345-525, CCL 149, 13. 133ss; Sínodo Romano (a. 386): </w:t>
      </w:r>
      <w:r w:rsidRPr="00DE4F54">
        <w:rPr>
          <w:rFonts w:ascii="Times New Roman" w:hAnsi="Times New Roman" w:cs="Times New Roman"/>
          <w:i/>
          <w:highlight w:val="yellow"/>
        </w:rPr>
        <w:t xml:space="preserve">Conc. </w:t>
      </w:r>
      <w:proofErr w:type="spellStart"/>
      <w:r w:rsidR="00DA4D50" w:rsidRPr="00DE4F54">
        <w:rPr>
          <w:rFonts w:ascii="Times New Roman" w:hAnsi="Times New Roman" w:cs="Times New Roman"/>
          <w:highlight w:val="yellow"/>
        </w:rPr>
        <w:t>Œ</w:t>
      </w:r>
      <w:r w:rsidRPr="00DE4F54">
        <w:rPr>
          <w:rFonts w:ascii="Times New Roman" w:hAnsi="Times New Roman" w:cs="Times New Roman"/>
          <w:i/>
          <w:highlight w:val="yellow"/>
        </w:rPr>
        <w:t>cum</w:t>
      </w:r>
      <w:proofErr w:type="spellEnd"/>
      <w:r w:rsidRPr="00DE4F54">
        <w:rPr>
          <w:rFonts w:ascii="Times New Roman" w:hAnsi="Times New Roman" w:cs="Times New Roman"/>
          <w:i/>
          <w:highlight w:val="yellow"/>
        </w:rPr>
        <w:t>. Decr</w:t>
      </w:r>
      <w:r w:rsidRPr="00DE4F54">
        <w:rPr>
          <w:rFonts w:ascii="Times New Roman" w:hAnsi="Times New Roman" w:cs="Times New Roman"/>
          <w:highlight w:val="yellow"/>
        </w:rPr>
        <w:t xml:space="preserve">., 58-63; Conc. </w:t>
      </w:r>
      <w:proofErr w:type="spellStart"/>
      <w:r w:rsidRPr="00DE4F54">
        <w:rPr>
          <w:rFonts w:ascii="Times New Roman" w:hAnsi="Times New Roman" w:cs="Times New Roman"/>
          <w:highlight w:val="yellow"/>
        </w:rPr>
        <w:t>Trulano</w:t>
      </w:r>
      <w:proofErr w:type="spellEnd"/>
      <w:r w:rsidRPr="00DE4F54">
        <w:rPr>
          <w:rFonts w:ascii="Times New Roman" w:hAnsi="Times New Roman" w:cs="Times New Roman"/>
          <w:highlight w:val="yellow"/>
        </w:rPr>
        <w:t xml:space="preserve"> II (a. 691), </w:t>
      </w:r>
      <w:proofErr w:type="spellStart"/>
      <w:r w:rsidRPr="00DE4F54">
        <w:rPr>
          <w:rFonts w:ascii="Times New Roman" w:hAnsi="Times New Roman" w:cs="Times New Roman"/>
          <w:highlight w:val="yellow"/>
        </w:rPr>
        <w:t>cann</w:t>
      </w:r>
      <w:proofErr w:type="spellEnd"/>
      <w:r w:rsidRPr="00DE4F54">
        <w:rPr>
          <w:rFonts w:ascii="Times New Roman" w:hAnsi="Times New Roman" w:cs="Times New Roman"/>
          <w:highlight w:val="yellow"/>
        </w:rPr>
        <w:t xml:space="preserve">. 3, 6, 12, 13, 26, 30, 48: </w:t>
      </w:r>
      <w:proofErr w:type="spellStart"/>
      <w:r w:rsidRPr="00DE4F54">
        <w:rPr>
          <w:rFonts w:ascii="Times New Roman" w:hAnsi="Times New Roman" w:cs="Times New Roman"/>
          <w:i/>
          <w:highlight w:val="yellow"/>
          <w:lang w:val="fi-FI"/>
        </w:rPr>
        <w:t>Pont</w:t>
      </w:r>
      <w:proofErr w:type="spellEnd"/>
      <w:r w:rsidRPr="00DE4F54">
        <w:rPr>
          <w:rFonts w:ascii="Times New Roman" w:hAnsi="Times New Roman" w:cs="Times New Roman"/>
          <w:i/>
          <w:highlight w:val="yellow"/>
          <w:lang w:val="fi-FI"/>
        </w:rPr>
        <w:t>. Commissio ad redigendum CIC Orientalis</w:t>
      </w:r>
      <w:r w:rsidRPr="00DE4F54">
        <w:rPr>
          <w:rFonts w:ascii="Times New Roman" w:hAnsi="Times New Roman" w:cs="Times New Roman"/>
          <w:highlight w:val="yellow"/>
        </w:rPr>
        <w:t xml:space="preserve">, IX, I/1, 125-186; </w:t>
      </w:r>
      <w:proofErr w:type="spellStart"/>
      <w:r w:rsidRPr="00DE4F54">
        <w:rPr>
          <w:rFonts w:ascii="Times New Roman" w:hAnsi="Times New Roman" w:cs="Times New Roman"/>
          <w:highlight w:val="yellow"/>
        </w:rPr>
        <w:t>Sirício</w:t>
      </w:r>
      <w:proofErr w:type="spellEnd"/>
      <w:r w:rsidRPr="00DE4F54">
        <w:rPr>
          <w:rFonts w:ascii="Times New Roman" w:hAnsi="Times New Roman" w:cs="Times New Roman"/>
          <w:highlight w:val="yellow"/>
        </w:rPr>
        <w:t xml:space="preserve">, decretal </w:t>
      </w:r>
      <w:r w:rsidRPr="00DE4F54">
        <w:rPr>
          <w:rFonts w:ascii="Times New Roman" w:hAnsi="Times New Roman" w:cs="Times New Roman"/>
          <w:i/>
          <w:highlight w:val="yellow"/>
          <w:lang w:val="fi-FI"/>
        </w:rPr>
        <w:t xml:space="preserve">Directa </w:t>
      </w:r>
      <w:r w:rsidRPr="00DE4F54">
        <w:rPr>
          <w:rFonts w:ascii="Times New Roman" w:hAnsi="Times New Roman" w:cs="Times New Roman"/>
          <w:highlight w:val="yellow"/>
        </w:rPr>
        <w:t xml:space="preserve">(a. 386): </w:t>
      </w:r>
      <w:r w:rsidRPr="00DE4F54">
        <w:rPr>
          <w:rFonts w:ascii="Times New Roman" w:hAnsi="Times New Roman" w:cs="Times New Roman"/>
          <w:i/>
          <w:highlight w:val="yellow"/>
        </w:rPr>
        <w:t>PL</w:t>
      </w:r>
      <w:r w:rsidRPr="00DE4F54">
        <w:rPr>
          <w:rFonts w:ascii="Times New Roman" w:hAnsi="Times New Roman" w:cs="Times New Roman"/>
          <w:highlight w:val="yellow"/>
        </w:rPr>
        <w:t xml:space="preserve"> 13, 1131-1147; Inocêncio I, Carta </w:t>
      </w:r>
      <w:r w:rsidRPr="00DE4F54">
        <w:rPr>
          <w:rFonts w:ascii="Times New Roman" w:hAnsi="Times New Roman" w:cs="Times New Roman"/>
          <w:i/>
          <w:highlight w:val="yellow"/>
          <w:lang w:val="fi-FI"/>
        </w:rPr>
        <w:t>Dominus inter</w:t>
      </w:r>
      <w:r w:rsidRPr="00DE4F54">
        <w:rPr>
          <w:rFonts w:ascii="Times New Roman" w:hAnsi="Times New Roman" w:cs="Times New Roman"/>
          <w:highlight w:val="yellow"/>
        </w:rPr>
        <w:t xml:space="preserve"> (a. 405): </w:t>
      </w:r>
      <w:proofErr w:type="spellStart"/>
      <w:r w:rsidRPr="00DE4F54">
        <w:rPr>
          <w:rFonts w:ascii="Times New Roman" w:hAnsi="Times New Roman" w:cs="Times New Roman"/>
          <w:highlight w:val="yellow"/>
        </w:rPr>
        <w:t>Bruns</w:t>
      </w:r>
      <w:proofErr w:type="spellEnd"/>
      <w:r w:rsidRPr="00DE4F54">
        <w:rPr>
          <w:rFonts w:ascii="Times New Roman" w:hAnsi="Times New Roman" w:cs="Times New Roman"/>
          <w:highlight w:val="yellow"/>
        </w:rPr>
        <w:t xml:space="preserve"> cit. 274-277; S. Leão Magno, </w:t>
      </w:r>
      <w:r w:rsidRPr="00DE4F54">
        <w:rPr>
          <w:rFonts w:ascii="Times New Roman" w:hAnsi="Times New Roman" w:cs="Times New Roman"/>
          <w:i/>
          <w:highlight w:val="yellow"/>
        </w:rPr>
        <w:t xml:space="preserve">Carta a </w:t>
      </w:r>
      <w:proofErr w:type="spellStart"/>
      <w:r w:rsidRPr="00DE4F54">
        <w:rPr>
          <w:rFonts w:ascii="Times New Roman" w:hAnsi="Times New Roman" w:cs="Times New Roman"/>
          <w:i/>
          <w:highlight w:val="yellow"/>
        </w:rPr>
        <w:t>Rusticus</w:t>
      </w:r>
      <w:proofErr w:type="spellEnd"/>
      <w:r w:rsidRPr="00DE4F54">
        <w:rPr>
          <w:rFonts w:ascii="Times New Roman" w:hAnsi="Times New Roman" w:cs="Times New Roman"/>
          <w:highlight w:val="yellow"/>
        </w:rPr>
        <w:t xml:space="preserve"> (a. 456): </w:t>
      </w:r>
      <w:r w:rsidRPr="00DE4F54">
        <w:rPr>
          <w:rFonts w:ascii="Times New Roman" w:hAnsi="Times New Roman" w:cs="Times New Roman"/>
          <w:i/>
          <w:highlight w:val="yellow"/>
        </w:rPr>
        <w:t>PL</w:t>
      </w:r>
      <w:r w:rsidRPr="00DE4F54">
        <w:rPr>
          <w:rFonts w:ascii="Times New Roman" w:hAnsi="Times New Roman" w:cs="Times New Roman"/>
          <w:highlight w:val="yellow"/>
        </w:rPr>
        <w:t xml:space="preserve"> 54, 1191; Eusébio de </w:t>
      </w:r>
      <w:proofErr w:type="spellStart"/>
      <w:r w:rsidRPr="00DE4F54">
        <w:rPr>
          <w:rFonts w:ascii="Times New Roman" w:hAnsi="Times New Roman" w:cs="Times New Roman"/>
          <w:highlight w:val="yellow"/>
        </w:rPr>
        <w:t>Cesaréia</w:t>
      </w:r>
      <w:proofErr w:type="spellEnd"/>
      <w:r w:rsidRPr="00DE4F54">
        <w:rPr>
          <w:rFonts w:ascii="Times New Roman" w:hAnsi="Times New Roman" w:cs="Times New Roman"/>
          <w:highlight w:val="yellow"/>
        </w:rPr>
        <w:t xml:space="preserve">, </w:t>
      </w:r>
      <w:r w:rsidRPr="00DE4F54">
        <w:rPr>
          <w:rFonts w:ascii="Times New Roman" w:hAnsi="Times New Roman" w:cs="Times New Roman"/>
          <w:i/>
          <w:highlight w:val="yellow"/>
          <w:lang w:val="fi-FI"/>
        </w:rPr>
        <w:t>Demonstratio Evangelica</w:t>
      </w:r>
      <w:r w:rsidRPr="00DE4F54">
        <w:rPr>
          <w:rFonts w:ascii="Times New Roman" w:hAnsi="Times New Roman" w:cs="Times New Roman"/>
          <w:highlight w:val="yellow"/>
        </w:rPr>
        <w:t xml:space="preserve">, 1, 9: </w:t>
      </w:r>
      <w:r w:rsidRPr="00DE4F54">
        <w:rPr>
          <w:rFonts w:ascii="Times New Roman" w:hAnsi="Times New Roman" w:cs="Times New Roman"/>
          <w:i/>
          <w:highlight w:val="yellow"/>
        </w:rPr>
        <w:t>PG</w:t>
      </w:r>
      <w:r w:rsidRPr="00DE4F54">
        <w:rPr>
          <w:rFonts w:ascii="Times New Roman" w:hAnsi="Times New Roman" w:cs="Times New Roman"/>
          <w:highlight w:val="yellow"/>
        </w:rPr>
        <w:t xml:space="preserve">, 22, 82; Epifânio de </w:t>
      </w:r>
      <w:proofErr w:type="spellStart"/>
      <w:r w:rsidRPr="00DE4F54">
        <w:rPr>
          <w:rFonts w:ascii="Times New Roman" w:hAnsi="Times New Roman" w:cs="Times New Roman"/>
          <w:highlight w:val="yellow"/>
        </w:rPr>
        <w:t>Salamina</w:t>
      </w:r>
      <w:proofErr w:type="spellEnd"/>
      <w:r w:rsidRPr="00DE4F54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DE4F54">
        <w:rPr>
          <w:rFonts w:ascii="Times New Roman" w:hAnsi="Times New Roman" w:cs="Times New Roman"/>
          <w:i/>
          <w:highlight w:val="yellow"/>
          <w:lang w:val="fi-FI"/>
        </w:rPr>
        <w:t>Panarion</w:t>
      </w:r>
      <w:proofErr w:type="spellEnd"/>
      <w:r w:rsidRPr="00DE4F54">
        <w:rPr>
          <w:rFonts w:ascii="Times New Roman" w:hAnsi="Times New Roman" w:cs="Times New Roman"/>
          <w:highlight w:val="yellow"/>
        </w:rPr>
        <w:t xml:space="preserve">: </w:t>
      </w:r>
      <w:r w:rsidRPr="00DE4F54">
        <w:rPr>
          <w:rFonts w:ascii="Times New Roman" w:hAnsi="Times New Roman" w:cs="Times New Roman"/>
          <w:i/>
          <w:highlight w:val="yellow"/>
        </w:rPr>
        <w:t>PG</w:t>
      </w:r>
      <w:r w:rsidRPr="00DE4F54">
        <w:rPr>
          <w:rFonts w:ascii="Times New Roman" w:hAnsi="Times New Roman" w:cs="Times New Roman"/>
          <w:highlight w:val="yellow"/>
        </w:rPr>
        <w:t xml:space="preserve"> 41, 868. 1024; </w:t>
      </w:r>
      <w:r w:rsidRPr="00DE4F54">
        <w:rPr>
          <w:rFonts w:ascii="Times New Roman" w:hAnsi="Times New Roman" w:cs="Times New Roman"/>
          <w:i/>
          <w:highlight w:val="yellow"/>
          <w:lang w:val="fi-FI"/>
        </w:rPr>
        <w:t>Expositio Fidei, PG</w:t>
      </w:r>
      <w:r w:rsidRPr="00DE4F54">
        <w:rPr>
          <w:rFonts w:ascii="Times New Roman" w:hAnsi="Times New Roman" w:cs="Times New Roman"/>
          <w:highlight w:val="yellow"/>
        </w:rPr>
        <w:t xml:space="preserve"> 42, 823 ss.</w:t>
      </w:r>
    </w:p>
  </w:footnote>
  <w:footnote w:id="17">
    <w:p w14:paraId="50C9EB13" w14:textId="77777777" w:rsidR="00ED3DAA" w:rsidRPr="00DA4D50" w:rsidRDefault="00ED3DAA" w:rsidP="00DA4D50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DA4D50">
        <w:rPr>
          <w:rStyle w:val="FootnoteReference"/>
          <w:rFonts w:ascii="Times New Roman" w:hAnsi="Times New Roman" w:cs="Times New Roman"/>
        </w:rPr>
        <w:footnoteRef/>
      </w:r>
      <w:r w:rsidRPr="00DA4D50">
        <w:rPr>
          <w:rFonts w:ascii="Times New Roman" w:hAnsi="Times New Roman" w:cs="Times New Roman"/>
        </w:rPr>
        <w:t xml:space="preserve"> </w:t>
      </w:r>
      <w:r w:rsidRPr="00DA4D50">
        <w:rPr>
          <w:rFonts w:ascii="Times New Roman" w:hAnsi="Times New Roman" w:cs="Times New Roman"/>
        </w:rPr>
        <w:t xml:space="preserve">Cf. Sagrada Congregação para a educação católica, </w:t>
      </w:r>
      <w:r w:rsidRPr="00DA4D50">
        <w:rPr>
          <w:rFonts w:ascii="Times New Roman" w:hAnsi="Times New Roman" w:cs="Times New Roman"/>
          <w:i/>
        </w:rPr>
        <w:t>Orientações educativas para a formação ao celibato sacerdotal</w:t>
      </w:r>
      <w:r w:rsidRPr="00DA4D50">
        <w:rPr>
          <w:rFonts w:ascii="Times New Roman" w:hAnsi="Times New Roman" w:cs="Times New Roman"/>
        </w:rPr>
        <w:t xml:space="preserve"> (11 de abril de 1974), 16: l.c., 200-201.</w:t>
      </w:r>
    </w:p>
  </w:footnote>
  <w:footnote w:id="18">
    <w:p w14:paraId="6D4C1928" w14:textId="77777777" w:rsidR="00ED3DAA" w:rsidRPr="00DA4D50" w:rsidRDefault="00ED3DAA" w:rsidP="00DA4D50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DA4D50">
        <w:rPr>
          <w:rStyle w:val="FootnoteReference"/>
          <w:rFonts w:ascii="Times New Roman" w:hAnsi="Times New Roman" w:cs="Times New Roman"/>
        </w:rPr>
        <w:footnoteRef/>
      </w:r>
      <w:r w:rsidRPr="00DA4D50">
        <w:rPr>
          <w:rFonts w:ascii="Times New Roman" w:hAnsi="Times New Roman" w:cs="Times New Roman"/>
        </w:rPr>
        <w:t xml:space="preserve"> </w:t>
      </w:r>
      <w:r w:rsidRPr="00DA4D50">
        <w:rPr>
          <w:rFonts w:ascii="Times New Roman" w:hAnsi="Times New Roman" w:cs="Times New Roman"/>
        </w:rPr>
        <w:t xml:space="preserve">Bento XVI, </w:t>
      </w:r>
      <w:r w:rsidRPr="00DA4D50">
        <w:rPr>
          <w:rFonts w:ascii="Times New Roman" w:hAnsi="Times New Roman" w:cs="Times New Roman"/>
          <w:i/>
        </w:rPr>
        <w:t>Vigília por ocasião da conclusão do Ano Sacerdotal</w:t>
      </w:r>
      <w:r w:rsidRPr="00DA4D50">
        <w:rPr>
          <w:rFonts w:ascii="Times New Roman" w:hAnsi="Times New Roman" w:cs="Times New Roman"/>
        </w:rPr>
        <w:t xml:space="preserve"> (10 de junho de 2010): l.c., 397-406.</w:t>
      </w:r>
    </w:p>
  </w:footnote>
  <w:footnote w:id="19">
    <w:p w14:paraId="1B6E0AE5" w14:textId="77777777" w:rsidR="00ED3DAA" w:rsidRPr="00DA4D50" w:rsidRDefault="00ED3DAA" w:rsidP="00DA4D50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DA4D50">
        <w:rPr>
          <w:rStyle w:val="FootnoteReference"/>
          <w:rFonts w:ascii="Times New Roman" w:hAnsi="Times New Roman" w:cs="Times New Roman"/>
        </w:rPr>
        <w:footnoteRef/>
      </w:r>
      <w:r w:rsidRPr="00DA4D50">
        <w:rPr>
          <w:rFonts w:ascii="Times New Roman" w:hAnsi="Times New Roman" w:cs="Times New Roman"/>
        </w:rPr>
        <w:t xml:space="preserve"> </w:t>
      </w:r>
      <w:r w:rsidRPr="00DA4D50">
        <w:rPr>
          <w:rFonts w:ascii="Times New Roman" w:hAnsi="Times New Roman" w:cs="Times New Roman"/>
        </w:rPr>
        <w:t xml:space="preserve">Bento XVI, </w:t>
      </w:r>
      <w:r w:rsidRPr="00DA4D50">
        <w:rPr>
          <w:rFonts w:ascii="Times New Roman" w:hAnsi="Times New Roman" w:cs="Times New Roman"/>
          <w:i/>
        </w:rPr>
        <w:t>Discurso aos participantes da Plenária da Congregação para o Clero</w:t>
      </w:r>
      <w:r w:rsidRPr="00DA4D50">
        <w:rPr>
          <w:rFonts w:ascii="Times New Roman" w:hAnsi="Times New Roman" w:cs="Times New Roman"/>
        </w:rPr>
        <w:t xml:space="preserve"> (16 de março de 2009): </w:t>
      </w:r>
      <w:r w:rsidRPr="00DE4F54">
        <w:rPr>
          <w:rFonts w:ascii="Times New Roman" w:hAnsi="Times New Roman" w:cs="Times New Roman"/>
          <w:i/>
        </w:rPr>
        <w:t>l.c</w:t>
      </w:r>
      <w:r w:rsidRPr="00DA4D50">
        <w:rPr>
          <w:rFonts w:ascii="Times New Roman" w:hAnsi="Times New Roman" w:cs="Times New Roman"/>
        </w:rPr>
        <w:t>., 393.</w:t>
      </w:r>
    </w:p>
  </w:footnote>
  <w:footnote w:id="20">
    <w:p w14:paraId="67A4B44D" w14:textId="77777777" w:rsidR="00ED3DAA" w:rsidRPr="00DA4D50" w:rsidRDefault="00ED3DAA" w:rsidP="00DA4D50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DA4D50">
        <w:rPr>
          <w:rStyle w:val="FootnoteReference"/>
          <w:rFonts w:ascii="Times New Roman" w:hAnsi="Times New Roman" w:cs="Times New Roman"/>
        </w:rPr>
        <w:footnoteRef/>
      </w:r>
      <w:r w:rsidRPr="00DA4D50">
        <w:rPr>
          <w:rFonts w:ascii="Times New Roman" w:hAnsi="Times New Roman" w:cs="Times New Roman"/>
        </w:rPr>
        <w:t xml:space="preserve"> </w:t>
      </w:r>
      <w:r w:rsidRPr="00DA4D50">
        <w:rPr>
          <w:rFonts w:ascii="Times New Roman" w:hAnsi="Times New Roman" w:cs="Times New Roman"/>
        </w:rPr>
        <w:t xml:space="preserve">Cf. João Paulo II, </w:t>
      </w:r>
      <w:proofErr w:type="spellStart"/>
      <w:r w:rsidRPr="00DA4D50">
        <w:rPr>
          <w:rFonts w:ascii="Times New Roman" w:hAnsi="Times New Roman" w:cs="Times New Roman"/>
        </w:rPr>
        <w:t>Exort</w:t>
      </w:r>
      <w:proofErr w:type="spellEnd"/>
      <w:r w:rsidRPr="00DA4D50">
        <w:rPr>
          <w:rFonts w:ascii="Times New Roman" w:hAnsi="Times New Roman" w:cs="Times New Roman"/>
        </w:rPr>
        <w:t xml:space="preserve">. ap. pós-sinodal </w:t>
      </w:r>
      <w:r w:rsidRPr="00DA4D50">
        <w:rPr>
          <w:rFonts w:ascii="Times New Roman" w:hAnsi="Times New Roman" w:cs="Times New Roman"/>
          <w:i/>
          <w:lang w:val="fi-FI"/>
        </w:rPr>
        <w:t>Pastores dabo vobis</w:t>
      </w:r>
      <w:r w:rsidRPr="00DA4D50">
        <w:rPr>
          <w:rFonts w:ascii="Times New Roman" w:hAnsi="Times New Roman" w:cs="Times New Roman"/>
        </w:rPr>
        <w:t xml:space="preserve">, 29; 50; Congregação para a educação Católica, Instrução </w:t>
      </w:r>
      <w:r w:rsidRPr="00DA4D50">
        <w:rPr>
          <w:rFonts w:ascii="Times New Roman" w:hAnsi="Times New Roman" w:cs="Times New Roman"/>
          <w:i/>
          <w:lang w:val="it-IT"/>
        </w:rPr>
        <w:t>In continuità</w:t>
      </w:r>
      <w:r w:rsidRPr="00DA4D50">
        <w:rPr>
          <w:rFonts w:ascii="Times New Roman" w:hAnsi="Times New Roman" w:cs="Times New Roman"/>
        </w:rPr>
        <w:t xml:space="preserve"> sobre os critérios de discernimento vocacional acerca das pessoas com tendências homossexuais e da sua admissão ao Seminário e às Ordens Sacras (4 de novembro de 2005): </w:t>
      </w:r>
      <w:r w:rsidRPr="00DE4F54">
        <w:rPr>
          <w:rFonts w:ascii="Times New Roman" w:hAnsi="Times New Roman" w:cs="Times New Roman"/>
          <w:i/>
        </w:rPr>
        <w:t xml:space="preserve">AAS </w:t>
      </w:r>
      <w:r w:rsidRPr="00DA4D50">
        <w:rPr>
          <w:rFonts w:ascii="Times New Roman" w:hAnsi="Times New Roman" w:cs="Times New Roman"/>
        </w:rPr>
        <w:t xml:space="preserve">97 (2005), 1007-1013; </w:t>
      </w:r>
      <w:r w:rsidRPr="00DA4D50">
        <w:rPr>
          <w:rFonts w:ascii="Times New Roman" w:hAnsi="Times New Roman" w:cs="Times New Roman"/>
          <w:i/>
        </w:rPr>
        <w:t xml:space="preserve">Orientações educativas para a formação ao celibato sacerdotal </w:t>
      </w:r>
      <w:r w:rsidRPr="00DA4D50">
        <w:rPr>
          <w:rFonts w:ascii="Times New Roman" w:hAnsi="Times New Roman" w:cs="Times New Roman"/>
        </w:rPr>
        <w:t xml:space="preserve">(11 de abril de 1974): </w:t>
      </w:r>
      <w:r w:rsidRPr="00DA4D50">
        <w:rPr>
          <w:rFonts w:ascii="Times New Roman" w:hAnsi="Times New Roman" w:cs="Times New Roman"/>
          <w:i/>
        </w:rPr>
        <w:t>EV</w:t>
      </w:r>
      <w:r w:rsidRPr="00DA4D50">
        <w:rPr>
          <w:rFonts w:ascii="Times New Roman" w:hAnsi="Times New Roman" w:cs="Times New Roman"/>
        </w:rPr>
        <w:t xml:space="preserve"> 5 (1974-1976), 188-256.</w:t>
      </w:r>
    </w:p>
  </w:footnote>
  <w:footnote w:id="21">
    <w:p w14:paraId="34A5E842" w14:textId="77777777" w:rsidR="00ED3DAA" w:rsidRPr="00DA4D50" w:rsidRDefault="00ED3DAA" w:rsidP="00DA4D50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DA4D50">
        <w:rPr>
          <w:rStyle w:val="FootnoteReference"/>
          <w:rFonts w:ascii="Times New Roman" w:hAnsi="Times New Roman" w:cs="Times New Roman"/>
        </w:rPr>
        <w:footnoteRef/>
      </w:r>
      <w:r w:rsidRPr="00DA4D50">
        <w:rPr>
          <w:rFonts w:ascii="Times New Roman" w:hAnsi="Times New Roman" w:cs="Times New Roman"/>
        </w:rPr>
        <w:t xml:space="preserve"> </w:t>
      </w:r>
      <w:r w:rsidRPr="00DA4D50">
        <w:rPr>
          <w:rFonts w:ascii="Times New Roman" w:hAnsi="Times New Roman" w:cs="Times New Roman"/>
        </w:rPr>
        <w:t xml:space="preserve">Cf. S. João </w:t>
      </w:r>
      <w:proofErr w:type="spellStart"/>
      <w:r w:rsidRPr="00DA4D50">
        <w:rPr>
          <w:rFonts w:ascii="Times New Roman" w:hAnsi="Times New Roman" w:cs="Times New Roman"/>
        </w:rPr>
        <w:t>Crisóstomo</w:t>
      </w:r>
      <w:proofErr w:type="spellEnd"/>
      <w:r w:rsidRPr="00DA4D50">
        <w:rPr>
          <w:rFonts w:ascii="Times New Roman" w:hAnsi="Times New Roman" w:cs="Times New Roman"/>
        </w:rPr>
        <w:t xml:space="preserve">, </w:t>
      </w:r>
      <w:r w:rsidRPr="00DA4D50">
        <w:rPr>
          <w:rFonts w:ascii="Times New Roman" w:hAnsi="Times New Roman" w:cs="Times New Roman"/>
          <w:i/>
          <w:lang w:val="fi-FI"/>
        </w:rPr>
        <w:t>De Sacerdotio</w:t>
      </w:r>
      <w:r w:rsidRPr="00DA4D50">
        <w:rPr>
          <w:rFonts w:ascii="Times New Roman" w:hAnsi="Times New Roman" w:cs="Times New Roman"/>
        </w:rPr>
        <w:t>, VI, 2: PG 48, 679: «A alma do sacerdote deve ser mais pura que os raios do sol, para que o Espírito Santo não o abandone e para poder dizer: “Já não sou eu que vivo, é Cristo que vive em mim” (</w:t>
      </w:r>
      <w:proofErr w:type="spellStart"/>
      <w:r w:rsidRPr="00DE4F54">
        <w:rPr>
          <w:rFonts w:ascii="Times New Roman" w:hAnsi="Times New Roman" w:cs="Times New Roman"/>
          <w:i/>
        </w:rPr>
        <w:t>Gl</w:t>
      </w:r>
      <w:proofErr w:type="spellEnd"/>
      <w:r w:rsidRPr="00DA4D50">
        <w:rPr>
          <w:rFonts w:ascii="Times New Roman" w:hAnsi="Times New Roman" w:cs="Times New Roman"/>
        </w:rPr>
        <w:t xml:space="preserve"> 2,20). Se os anacoretas do deserto, longe das cidades e dos lugares públicos e de todo o barulho próprio daqueles lugares, gozando plenamente o porto e a bonança, não se atrevem a confiar na segurança daquela sua vida, mas acrescentam outras infinitas atenções, acautelando-se de todos os perigos e preocupando-se de fazer ou dizer todas as coisas com grande diligência, para poder-se apresentar perante Deus com confiança e pureza intacta, tanto quanto é possível às faculdades humanas; que força e que violência te parecem ser necessárias ao sacerdote para subtrair a sua alma a toda a mancha e conservar intacta a sua beleza espiritual? Ele precisa certamente de pureza maior que a dos monges. E, todavia, precisamente ele, que mais necessidade tem dela, está exposto a maiores ocasiões inevitáveis, nas quais pode ser contaminado, se com assídua sobriedade e vigilância não tornar a sua alma inacessível àquelas insídias».</w:t>
      </w:r>
    </w:p>
  </w:footnote>
  <w:footnote w:id="22">
    <w:p w14:paraId="5BCBF03C" w14:textId="77777777" w:rsidR="00401F57" w:rsidRPr="00DA4D50" w:rsidRDefault="00401F57" w:rsidP="00DA4D50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DA4D50">
        <w:rPr>
          <w:rStyle w:val="FootnoteReference"/>
          <w:rFonts w:ascii="Times New Roman" w:hAnsi="Times New Roman" w:cs="Times New Roman"/>
        </w:rPr>
        <w:footnoteRef/>
      </w:r>
      <w:r w:rsidRPr="00DA4D50">
        <w:rPr>
          <w:rFonts w:ascii="Times New Roman" w:hAnsi="Times New Roman" w:cs="Times New Roman"/>
        </w:rPr>
        <w:t xml:space="preserve"> </w:t>
      </w:r>
      <w:r w:rsidRPr="00DA4D50">
        <w:rPr>
          <w:rFonts w:ascii="Times New Roman" w:hAnsi="Times New Roman" w:cs="Times New Roman"/>
        </w:rPr>
        <w:t xml:space="preserve">Cf. </w:t>
      </w:r>
      <w:r w:rsidRPr="00DA4D50">
        <w:rPr>
          <w:rFonts w:ascii="Times New Roman" w:hAnsi="Times New Roman" w:cs="Times New Roman"/>
          <w:i/>
        </w:rPr>
        <w:t>C.I.C</w:t>
      </w:r>
      <w:r w:rsidRPr="00DA4D50">
        <w:rPr>
          <w:rFonts w:ascii="Times New Roman" w:hAnsi="Times New Roman" w:cs="Times New Roman"/>
        </w:rPr>
        <w:t>, can. 277, § 2.</w:t>
      </w:r>
    </w:p>
  </w:footnote>
  <w:footnote w:id="23">
    <w:p w14:paraId="39CC19D8" w14:textId="77777777" w:rsidR="00401F57" w:rsidRPr="00DA4D50" w:rsidRDefault="00401F57" w:rsidP="00DA4D50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DA4D50">
        <w:rPr>
          <w:rStyle w:val="FootnoteReference"/>
          <w:rFonts w:ascii="Times New Roman" w:hAnsi="Times New Roman" w:cs="Times New Roman"/>
        </w:rPr>
        <w:footnoteRef/>
      </w:r>
      <w:r w:rsidRPr="00DA4D50">
        <w:rPr>
          <w:rFonts w:ascii="Times New Roman" w:hAnsi="Times New Roman" w:cs="Times New Roman"/>
        </w:rPr>
        <w:t xml:space="preserve"> </w:t>
      </w:r>
      <w:r w:rsidRPr="00DA4D50">
        <w:rPr>
          <w:rFonts w:ascii="Times New Roman" w:hAnsi="Times New Roman" w:cs="Times New Roman"/>
        </w:rPr>
        <w:t xml:space="preserve">Cf. </w:t>
      </w:r>
      <w:r w:rsidRPr="00DA4D50">
        <w:rPr>
          <w:rFonts w:ascii="Times New Roman" w:hAnsi="Times New Roman" w:cs="Times New Roman"/>
          <w:i/>
        </w:rPr>
        <w:t>ibid</w:t>
      </w:r>
      <w:r w:rsidRPr="00DA4D50">
        <w:rPr>
          <w:rFonts w:ascii="Times New Roman" w:hAnsi="Times New Roman" w:cs="Times New Roman"/>
        </w:rPr>
        <w:t>., can. 277, § 3.</w:t>
      </w:r>
    </w:p>
  </w:footnote>
  <w:footnote w:id="24">
    <w:p w14:paraId="66084A75" w14:textId="77777777" w:rsidR="00401F57" w:rsidRPr="00DA4D50" w:rsidRDefault="00401F57" w:rsidP="00DA4D50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DA4D50">
        <w:rPr>
          <w:rStyle w:val="FootnoteReference"/>
          <w:rFonts w:ascii="Times New Roman" w:hAnsi="Times New Roman" w:cs="Times New Roman"/>
        </w:rPr>
        <w:footnoteRef/>
      </w:r>
      <w:r w:rsidRPr="00DA4D50">
        <w:rPr>
          <w:rFonts w:ascii="Times New Roman" w:hAnsi="Times New Roman" w:cs="Times New Roman"/>
        </w:rPr>
        <w:t xml:space="preserve"> </w:t>
      </w:r>
      <w:r w:rsidRPr="00DA4D50">
        <w:rPr>
          <w:rFonts w:ascii="Times New Roman" w:hAnsi="Times New Roman" w:cs="Times New Roman"/>
        </w:rPr>
        <w:t xml:space="preserve">Cf. João Paulo II, </w:t>
      </w:r>
      <w:r w:rsidRPr="00DA4D50">
        <w:rPr>
          <w:rFonts w:ascii="Times New Roman" w:hAnsi="Times New Roman" w:cs="Times New Roman"/>
          <w:lang w:val="fi-FI"/>
        </w:rPr>
        <w:t xml:space="preserve">Litteræ apostolicæ Motu proprio </w:t>
      </w:r>
      <w:r w:rsidRPr="00DA4D50">
        <w:rPr>
          <w:rFonts w:ascii="Times New Roman" w:hAnsi="Times New Roman" w:cs="Times New Roman"/>
          <w:i/>
          <w:lang w:val="fi-FI"/>
        </w:rPr>
        <w:t>dat</w:t>
      </w:r>
      <w:r w:rsidRPr="00DA4D50">
        <w:rPr>
          <w:rFonts w:ascii="Times New Roman" w:hAnsi="Times New Roman" w:cs="Times New Roman"/>
          <w:i/>
          <w:lang w:val="fi-FI"/>
        </w:rPr>
        <w:t>æ</w:t>
      </w:r>
      <w:r w:rsidRPr="00DA4D50">
        <w:rPr>
          <w:rFonts w:ascii="Times New Roman" w:hAnsi="Times New Roman" w:cs="Times New Roman"/>
          <w:i/>
          <w:lang w:val="fi-FI"/>
        </w:rPr>
        <w:t xml:space="preserve"> Sacramentorum sanctitatis tutela quibus Norm</w:t>
      </w:r>
      <w:r w:rsidRPr="00DA4D50">
        <w:rPr>
          <w:rFonts w:ascii="Times New Roman" w:hAnsi="Times New Roman" w:cs="Times New Roman"/>
          <w:i/>
          <w:lang w:val="fi-FI"/>
        </w:rPr>
        <w:t>æ</w:t>
      </w:r>
      <w:r w:rsidRPr="00DA4D50">
        <w:rPr>
          <w:rFonts w:ascii="Times New Roman" w:hAnsi="Times New Roman" w:cs="Times New Roman"/>
          <w:i/>
          <w:lang w:val="fi-FI"/>
        </w:rPr>
        <w:t xml:space="preserve"> de gravioribus delictis Congregationi pro Doctrina Fidei reservatis promulgantur</w:t>
      </w:r>
      <w:r w:rsidRPr="00DA4D50">
        <w:rPr>
          <w:rFonts w:ascii="Times New Roman" w:hAnsi="Times New Roman" w:cs="Times New Roman"/>
          <w:i/>
        </w:rPr>
        <w:t xml:space="preserve"> </w:t>
      </w:r>
      <w:r w:rsidRPr="00DA4D50">
        <w:rPr>
          <w:rFonts w:ascii="Times New Roman" w:hAnsi="Times New Roman" w:cs="Times New Roman"/>
        </w:rPr>
        <w:t xml:space="preserve">(30 de abril de 2001): </w:t>
      </w:r>
      <w:r w:rsidRPr="00DA4D50">
        <w:rPr>
          <w:rFonts w:ascii="Times New Roman" w:hAnsi="Times New Roman" w:cs="Times New Roman"/>
          <w:i/>
        </w:rPr>
        <w:t>AAS</w:t>
      </w:r>
      <w:r w:rsidRPr="00DA4D50">
        <w:rPr>
          <w:rFonts w:ascii="Times New Roman" w:hAnsi="Times New Roman" w:cs="Times New Roman"/>
        </w:rPr>
        <w:t xml:space="preserve"> 93 (2001), 737-739 (modificadas por Bento XVI em 21 de maio de 2010: </w:t>
      </w:r>
      <w:r w:rsidRPr="00DA4D50">
        <w:rPr>
          <w:rFonts w:ascii="Times New Roman" w:hAnsi="Times New Roman" w:cs="Times New Roman"/>
          <w:i/>
        </w:rPr>
        <w:t>AAS</w:t>
      </w:r>
      <w:r w:rsidRPr="00DA4D50">
        <w:rPr>
          <w:rFonts w:ascii="Times New Roman" w:hAnsi="Times New Roman" w:cs="Times New Roman"/>
        </w:rPr>
        <w:t xml:space="preserve"> 102 [2010] 419-430).</w:t>
      </w:r>
    </w:p>
  </w:footnote>
  <w:footnote w:id="25">
    <w:p w14:paraId="671D6649" w14:textId="77777777" w:rsidR="00401F57" w:rsidRPr="00DA4D50" w:rsidRDefault="00401F57" w:rsidP="00DA4D50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DA4D50">
        <w:rPr>
          <w:rStyle w:val="FootnoteReference"/>
          <w:rFonts w:ascii="Times New Roman" w:hAnsi="Times New Roman" w:cs="Times New Roman"/>
        </w:rPr>
        <w:footnoteRef/>
      </w:r>
      <w:r w:rsidRPr="00DA4D50">
        <w:rPr>
          <w:rFonts w:ascii="Times New Roman" w:hAnsi="Times New Roman" w:cs="Times New Roman"/>
        </w:rPr>
        <w:t xml:space="preserve"> </w:t>
      </w:r>
      <w:r w:rsidRPr="00DA4D50">
        <w:rPr>
          <w:rFonts w:ascii="Times New Roman" w:hAnsi="Times New Roman" w:cs="Times New Roman"/>
        </w:rPr>
        <w:t xml:space="preserve">Cf. Conc. </w:t>
      </w:r>
      <w:proofErr w:type="spellStart"/>
      <w:r w:rsidRPr="00DA4D50">
        <w:rPr>
          <w:rFonts w:ascii="Times New Roman" w:hAnsi="Times New Roman" w:cs="Times New Roman"/>
        </w:rPr>
        <w:t>Ecum</w:t>
      </w:r>
      <w:proofErr w:type="spellEnd"/>
      <w:r w:rsidRPr="00DA4D50">
        <w:rPr>
          <w:rFonts w:ascii="Times New Roman" w:hAnsi="Times New Roman" w:cs="Times New Roman"/>
        </w:rPr>
        <w:t xml:space="preserve">. Vat. II, Decr. </w:t>
      </w:r>
      <w:r w:rsidRPr="00DA4D50">
        <w:rPr>
          <w:rFonts w:ascii="Times New Roman" w:hAnsi="Times New Roman" w:cs="Times New Roman"/>
          <w:i/>
          <w:lang w:val="fi-FI"/>
        </w:rPr>
        <w:t>Presbyterorum Ordinis</w:t>
      </w:r>
      <w:r w:rsidRPr="00DA4D50">
        <w:rPr>
          <w:rFonts w:ascii="Times New Roman" w:hAnsi="Times New Roman" w:cs="Times New Roman"/>
        </w:rPr>
        <w:t>, 16.</w:t>
      </w:r>
    </w:p>
  </w:footnote>
  <w:footnote w:id="26">
    <w:p w14:paraId="6DE9DB0E" w14:textId="77777777" w:rsidR="00401F57" w:rsidRPr="00DA4D50" w:rsidRDefault="00401F57" w:rsidP="00DA4D50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DA4D50">
        <w:rPr>
          <w:rStyle w:val="FootnoteReference"/>
          <w:rFonts w:ascii="Times New Roman" w:hAnsi="Times New Roman" w:cs="Times New Roman"/>
        </w:rPr>
        <w:footnoteRef/>
      </w:r>
      <w:r w:rsidRPr="00DA4D50">
        <w:rPr>
          <w:rFonts w:ascii="Times New Roman" w:hAnsi="Times New Roman" w:cs="Times New Roman"/>
        </w:rPr>
        <w:t xml:space="preserve"> </w:t>
      </w:r>
      <w:r w:rsidRPr="00DA4D50">
        <w:rPr>
          <w:rFonts w:ascii="Times New Roman" w:hAnsi="Times New Roman" w:cs="Times New Roman"/>
        </w:rPr>
        <w:t xml:space="preserve">Cf. Paulo VI, Carta enc. </w:t>
      </w:r>
      <w:r w:rsidRPr="00DA4D50">
        <w:rPr>
          <w:rFonts w:ascii="Times New Roman" w:hAnsi="Times New Roman" w:cs="Times New Roman"/>
          <w:i/>
          <w:lang w:val="fi-FI"/>
        </w:rPr>
        <w:t>Sacerdotalis cælibatus</w:t>
      </w:r>
      <w:r w:rsidRPr="00DA4D50">
        <w:rPr>
          <w:rFonts w:ascii="Times New Roman" w:hAnsi="Times New Roman" w:cs="Times New Roman"/>
        </w:rPr>
        <w:t xml:space="preserve"> (24 de junho de 1967), 79-81;  João Paulo II, </w:t>
      </w:r>
      <w:proofErr w:type="spellStart"/>
      <w:r w:rsidRPr="00DA4D50">
        <w:rPr>
          <w:rFonts w:ascii="Times New Roman" w:hAnsi="Times New Roman" w:cs="Times New Roman"/>
        </w:rPr>
        <w:t>Exort</w:t>
      </w:r>
      <w:proofErr w:type="spellEnd"/>
      <w:r w:rsidRPr="00DA4D50">
        <w:rPr>
          <w:rFonts w:ascii="Times New Roman" w:hAnsi="Times New Roman" w:cs="Times New Roman"/>
        </w:rPr>
        <w:t xml:space="preserve">. ap. pós-sinodal </w:t>
      </w:r>
      <w:r w:rsidRPr="00DA4D50">
        <w:rPr>
          <w:rFonts w:ascii="Times New Roman" w:hAnsi="Times New Roman" w:cs="Times New Roman"/>
          <w:i/>
          <w:lang w:val="fi-FI"/>
        </w:rPr>
        <w:t>Pastores dabo vobis</w:t>
      </w:r>
      <w:r w:rsidRPr="00DA4D50">
        <w:rPr>
          <w:rFonts w:ascii="Times New Roman" w:hAnsi="Times New Roman" w:cs="Times New Roman"/>
        </w:rPr>
        <w:t>, 29.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34"/>
    <w:rsid w:val="002A1980"/>
    <w:rsid w:val="00401F57"/>
    <w:rsid w:val="00D4781F"/>
    <w:rsid w:val="00DA4D50"/>
    <w:rsid w:val="00DE4F54"/>
    <w:rsid w:val="00E02334"/>
    <w:rsid w:val="00ED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75B5C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233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02334"/>
    <w:rPr>
      <w:b/>
      <w:bCs/>
    </w:rPr>
  </w:style>
  <w:style w:type="character" w:styleId="Emphasis">
    <w:name w:val="Emphasis"/>
    <w:basedOn w:val="DefaultParagraphFont"/>
    <w:uiPriority w:val="20"/>
    <w:qFormat/>
    <w:rsid w:val="00E0233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0233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02334"/>
  </w:style>
  <w:style w:type="paragraph" w:styleId="FootnoteText">
    <w:name w:val="footnote text"/>
    <w:basedOn w:val="Normal"/>
    <w:link w:val="FootnoteTextChar"/>
    <w:uiPriority w:val="99"/>
    <w:unhideWhenUsed/>
    <w:rsid w:val="00E02334"/>
  </w:style>
  <w:style w:type="character" w:customStyle="1" w:styleId="FootnoteTextChar">
    <w:name w:val="Footnote Text Char"/>
    <w:basedOn w:val="DefaultParagraphFont"/>
    <w:link w:val="FootnoteText"/>
    <w:uiPriority w:val="99"/>
    <w:rsid w:val="00E02334"/>
  </w:style>
  <w:style w:type="character" w:styleId="FootnoteReference">
    <w:name w:val="footnote reference"/>
    <w:basedOn w:val="DefaultParagraphFont"/>
    <w:uiPriority w:val="99"/>
    <w:unhideWhenUsed/>
    <w:rsid w:val="00E02334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233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02334"/>
    <w:rPr>
      <w:b/>
      <w:bCs/>
    </w:rPr>
  </w:style>
  <w:style w:type="character" w:styleId="Emphasis">
    <w:name w:val="Emphasis"/>
    <w:basedOn w:val="DefaultParagraphFont"/>
    <w:uiPriority w:val="20"/>
    <w:qFormat/>
    <w:rsid w:val="00E0233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0233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02334"/>
  </w:style>
  <w:style w:type="paragraph" w:styleId="FootnoteText">
    <w:name w:val="footnote text"/>
    <w:basedOn w:val="Normal"/>
    <w:link w:val="FootnoteTextChar"/>
    <w:uiPriority w:val="99"/>
    <w:unhideWhenUsed/>
    <w:rsid w:val="00E02334"/>
  </w:style>
  <w:style w:type="character" w:customStyle="1" w:styleId="FootnoteTextChar">
    <w:name w:val="Footnote Text Char"/>
    <w:basedOn w:val="DefaultParagraphFont"/>
    <w:link w:val="FootnoteText"/>
    <w:uiPriority w:val="99"/>
    <w:rsid w:val="00E02334"/>
  </w:style>
  <w:style w:type="character" w:styleId="FootnoteReference">
    <w:name w:val="footnote reference"/>
    <w:basedOn w:val="DefaultParagraphFont"/>
    <w:uiPriority w:val="99"/>
    <w:unhideWhenUsed/>
    <w:rsid w:val="00E023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1984</Words>
  <Characters>11312</Characters>
  <Application>Microsoft Macintosh Word</Application>
  <DocSecurity>0</DocSecurity>
  <Lines>94</Lines>
  <Paragraphs>26</Paragraphs>
  <ScaleCrop>false</ScaleCrop>
  <Company>Arquidiocese de Cuiabá</Company>
  <LinksUpToDate>false</LinksUpToDate>
  <CharactersWithSpaces>13270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Ricardo de Azevedo Júnior</dc:creator>
  <cp:keywords/>
  <dc:description/>
  <cp:lastModifiedBy>Paulo Ricardo de Azevedo Júnior</cp:lastModifiedBy>
  <cp:revision>3</cp:revision>
  <dcterms:created xsi:type="dcterms:W3CDTF">2014-08-11T22:38:00Z</dcterms:created>
  <dcterms:modified xsi:type="dcterms:W3CDTF">2014-08-11T23:23:00Z</dcterms:modified>
</cp:coreProperties>
</file>