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13895" w14:textId="77777777" w:rsidR="007F23E2" w:rsidRPr="007F23E2" w:rsidRDefault="007F23E2" w:rsidP="007F23E2">
      <w:pPr>
        <w:shd w:val="clear" w:color="auto" w:fill="FFFFFF"/>
        <w:spacing w:line="234" w:lineRule="atLeast"/>
        <w:jc w:val="center"/>
        <w:rPr>
          <w:rFonts w:ascii="Times New Roman" w:hAnsi="Times New Roman" w:cs="Times New Roman"/>
          <w:b/>
          <w:sz w:val="36"/>
        </w:rPr>
      </w:pPr>
      <w:r w:rsidRPr="007F23E2">
        <w:rPr>
          <w:rFonts w:ascii="Times New Roman" w:hAnsi="Times New Roman" w:cs="Times New Roman"/>
          <w:b/>
          <w:sz w:val="36"/>
        </w:rPr>
        <w:t>Bíblia,</w:t>
      </w:r>
      <w:r w:rsidR="00C10E43">
        <w:rPr>
          <w:rFonts w:ascii="Times New Roman" w:hAnsi="Times New Roman" w:cs="Times New Roman"/>
          <w:b/>
          <w:sz w:val="36"/>
        </w:rPr>
        <w:t xml:space="preserve"> </w:t>
      </w:r>
      <w:r w:rsidRPr="007F23E2">
        <w:rPr>
          <w:rFonts w:ascii="Times New Roman" w:hAnsi="Times New Roman" w:cs="Times New Roman"/>
          <w:b/>
          <w:sz w:val="36"/>
        </w:rPr>
        <w:t>Eros</w:t>
      </w:r>
      <w:r w:rsidR="00C10E43">
        <w:rPr>
          <w:rFonts w:ascii="Times New Roman" w:hAnsi="Times New Roman" w:cs="Times New Roman"/>
          <w:b/>
          <w:sz w:val="36"/>
        </w:rPr>
        <w:t xml:space="preserve"> </w:t>
      </w:r>
      <w:r w:rsidRPr="007F23E2">
        <w:rPr>
          <w:rFonts w:ascii="Times New Roman" w:hAnsi="Times New Roman" w:cs="Times New Roman"/>
          <w:b/>
          <w:sz w:val="36"/>
        </w:rPr>
        <w:t>e</w:t>
      </w:r>
      <w:r w:rsidR="00C10E43">
        <w:rPr>
          <w:rFonts w:ascii="Times New Roman" w:hAnsi="Times New Roman" w:cs="Times New Roman"/>
          <w:b/>
          <w:sz w:val="36"/>
        </w:rPr>
        <w:t xml:space="preserve"> </w:t>
      </w:r>
      <w:r w:rsidRPr="007F23E2">
        <w:rPr>
          <w:rFonts w:ascii="Times New Roman" w:hAnsi="Times New Roman" w:cs="Times New Roman"/>
          <w:b/>
          <w:sz w:val="36"/>
        </w:rPr>
        <w:t>família</w:t>
      </w:r>
    </w:p>
    <w:p w14:paraId="4294970D" w14:textId="77777777" w:rsidR="007F23E2" w:rsidRDefault="007F23E2" w:rsidP="007F23E2">
      <w:pPr>
        <w:shd w:val="clear" w:color="auto" w:fill="FFFFFF"/>
        <w:spacing w:line="234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Card.</w:t>
      </w:r>
      <w:r w:rsidR="00C10E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Walter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Kasper</w:t>
      </w:r>
      <w:proofErr w:type="spellEnd"/>
    </w:p>
    <w:p w14:paraId="5973AF5A" w14:textId="77777777" w:rsid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</w:p>
    <w:p w14:paraId="461B0389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Neste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internacional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Papa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Francisco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convidou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celebrar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processo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sinodal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"Desafios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pastorais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contexto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evangelização".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exortação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apostólica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fi-FI"/>
        </w:rPr>
        <w:t>Evangelii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fi-FI"/>
        </w:rPr>
        <w:t xml:space="preserve"> </w:t>
      </w:r>
      <w:r w:rsidRPr="007F23E2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fi-FI"/>
        </w:rPr>
        <w:t>gaudium</w:t>
      </w:r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escreve: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atravessa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cultural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profunda,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comunidades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vínculos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sociais.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fragilidade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vínculos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reveste-se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especial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gravidade,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célula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básica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sociedade"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(EG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66).</w:t>
      </w:r>
    </w:p>
    <w:p w14:paraId="15637191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Muitas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hoje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confrontar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grandes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dificuldades.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milhões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pessoas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encontram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migração,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fuga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afastamento,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condições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miséria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indignas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possível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familiar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ordenada.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atual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está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vivendo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antropológica.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individualismo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consumismo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colocam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discussão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cultura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tradicional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condições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econômicas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trabalho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tornam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vezes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difícil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convivência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coesão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Portanto,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número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daqueles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têm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fundar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fracassam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realização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projeto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aumentou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dramático,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crianças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têm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sorte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crescer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ordenada.</w:t>
      </w:r>
    </w:p>
    <w:p w14:paraId="23089681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compartilha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alegrias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esperanças,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tristezas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angústias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homens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(GS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1),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desafiada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situação.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ocasião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último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Papa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João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Paulo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II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retocou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palavras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encíclica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Redemptor</w:t>
      </w:r>
      <w:proofErr w:type="spellEnd"/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 xml:space="preserve"> </w:t>
      </w:r>
      <w:proofErr w:type="spellStart"/>
      <w:r w:rsidRPr="007F23E2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hominis</w:t>
      </w:r>
      <w:proofErr w:type="spellEnd"/>
      <w:r w:rsidRPr="007F23E2">
        <w:rPr>
          <w:rFonts w:ascii="Times New Roman" w:hAnsi="Times New Roman" w:cs="Times New Roman"/>
        </w:rPr>
        <w:t>(1979):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Igreja",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afirmando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Igreja"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(2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fevereiro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1994).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Porque,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normalmente,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pessoa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nasce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geralmente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cresce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culturas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história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humanidade,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percurso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normal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Hoje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jovens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buscam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felicidade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estável.</w:t>
      </w:r>
    </w:p>
    <w:p w14:paraId="1B8289A3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Porém,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honestos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admitir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doutrina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convicções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vividas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cristãos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criou-se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abismo.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ensinamento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abre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hoje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cristãos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distante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realidade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Porém,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dizer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dizê-lo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alegria: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há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fazem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melhor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viver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testemunho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beleza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alegria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família.</w:t>
      </w:r>
    </w:p>
    <w:p w14:paraId="79E70395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Muitas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vezes,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minoria,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minoria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significativa.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hoje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inédita.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contrário,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primeiros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séculos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estava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confrontada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conceitos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modelos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diferentes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pregado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Jesus,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novíssimo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gregos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romanos.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Portanto,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hoje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adaptação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liberal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status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radical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vai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raízes,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isto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Evangelho,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olhar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frente.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Assim,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será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tarefa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Sínodo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falar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novamente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beleza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alegria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Evangelho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sempre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entanto,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sempre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(EG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11).</w:t>
      </w:r>
    </w:p>
    <w:p w14:paraId="2E81755F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presente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intervenção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abordar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questões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atuais,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pretende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antecipar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resultados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syn</w:t>
      </w:r>
      <w:proofErr w:type="spellEnd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-odos</w:t>
      </w:r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isto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caminho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odos</w:t>
      </w:r>
      <w:r w:rsidRPr="007F23E2">
        <w:rPr>
          <w:rFonts w:ascii="Times New Roman" w:hAnsi="Times New Roman" w:cs="Times New Roman"/>
        </w:rPr>
        <w:t>)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syn</w:t>
      </w:r>
      <w:proofErr w:type="spellEnd"/>
      <w:r w:rsidRPr="007F23E2">
        <w:rPr>
          <w:rFonts w:ascii="Times New Roman" w:hAnsi="Times New Roman" w:cs="Times New Roman"/>
        </w:rPr>
        <w:t>)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inteira,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caminho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atenta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escuta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recíproca,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intercâmbio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oração.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invés,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espécie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ouverture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leva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tema,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esperança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lastRenderedPageBreak/>
        <w:t>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sym-phonia</w:t>
      </w:r>
      <w:proofErr w:type="spellEnd"/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seja,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conjunto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harmônico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vozes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aquelas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enquanto,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dissonantes.</w:t>
      </w:r>
    </w:p>
    <w:p w14:paraId="37809C4C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trata,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agora,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reiterar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doutrina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Interrogamo-nos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Evangelho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retornamos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brotou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doutrina.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já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afirmava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u w:val="single"/>
          <w:bdr w:val="none" w:sz="0" w:space="0" w:color="auto" w:frame="1"/>
        </w:rPr>
        <w:t>Concílio</w:t>
      </w:r>
      <w:r w:rsidR="00C10E43">
        <w:rPr>
          <w:rFonts w:ascii="Times New Roman" w:hAnsi="Times New Roman" w:cs="Times New Roman"/>
          <w:b/>
          <w:bCs/>
          <w:u w:val="single"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u w:val="single"/>
          <w:bdr w:val="none" w:sz="0" w:space="0" w:color="auto" w:frame="1"/>
        </w:rPr>
        <w:t>de</w:t>
      </w:r>
      <w:r w:rsidR="00C10E43">
        <w:rPr>
          <w:rFonts w:ascii="Times New Roman" w:hAnsi="Times New Roman" w:cs="Times New Roman"/>
          <w:b/>
          <w:bCs/>
          <w:u w:val="single"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u w:val="single"/>
          <w:bdr w:val="none" w:sz="0" w:space="0" w:color="auto" w:frame="1"/>
        </w:rPr>
        <w:t>Trento</w:t>
      </w:r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Evangelho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acreditado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vivido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verdade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salvação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disciplina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costume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(DH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1501;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cfr.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EG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36).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Isso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significa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doutrina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laguna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estagnada,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torrente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brota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Evangelho,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afluiu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experiência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povo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séculos.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tradição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hoje,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outras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vezes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história,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chegou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crítico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vista dos "sinais dos tempos" (G</w:t>
      </w:r>
      <w:r w:rsidRPr="007F23E2">
        <w:rPr>
          <w:rFonts w:ascii="Times New Roman" w:hAnsi="Times New Roman" w:cs="Times New Roman"/>
        </w:rPr>
        <w:t>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4),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exige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continuada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aprofundada.</w:t>
      </w:r>
    </w:p>
    <w:p w14:paraId="5BF8E0D5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Evangelho?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código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jurídico.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luz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força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Jesus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pede.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Só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luz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força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possível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compreender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observar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mandamentos.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Tomás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de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Aquino</w:t>
      </w:r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lei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Aliança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lex</w:t>
      </w:r>
      <w:proofErr w:type="spellEnd"/>
      <w:r w:rsidR="00C10E43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scripta</w:t>
      </w:r>
      <w:proofErr w:type="spellEnd"/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gratia</w:t>
      </w:r>
      <w:r w:rsidR="00C10E43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Spiritus</w:t>
      </w:r>
      <w:proofErr w:type="spellEnd"/>
      <w:r w:rsidR="00C10E43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Sancti</w:t>
      </w:r>
      <w:proofErr w:type="spellEnd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,</w:t>
      </w:r>
      <w:r w:rsidR="00C10E43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quae</w:t>
      </w:r>
      <w:proofErr w:type="spellEnd"/>
      <w:r w:rsidR="00C10E43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datur</w:t>
      </w:r>
      <w:proofErr w:type="spellEnd"/>
      <w:r w:rsidR="00C10E43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per</w:t>
      </w:r>
      <w:r w:rsidR="00C10E43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fidem</w:t>
      </w:r>
      <w:proofErr w:type="spellEnd"/>
      <w:r w:rsidR="00C10E43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Christi</w:t>
      </w:r>
      <w:r w:rsidRPr="007F23E2">
        <w:rPr>
          <w:rFonts w:ascii="Times New Roman" w:hAnsi="Times New Roman" w:cs="Times New Roman"/>
        </w:rPr>
        <w:t>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Espírito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opera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corações,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carta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Evangelho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lei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(2Cor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3-6).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Portanto,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Evangelho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peso,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alegre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novidade,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luz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força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família.</w:t>
      </w:r>
    </w:p>
    <w:p w14:paraId="75D62152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Chegamos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assim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central.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sacramentos,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sacramentos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Signa</w:t>
      </w:r>
      <w:r w:rsidR="00C10E43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protestantia</w:t>
      </w:r>
      <w:proofErr w:type="spellEnd"/>
      <w:r w:rsidR="00C10E43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fidem</w:t>
      </w:r>
      <w:proofErr w:type="spellEnd"/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Tomás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de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Aquino</w:t>
      </w:r>
      <w:r w:rsidRPr="007F23E2">
        <w:rPr>
          <w:rFonts w:ascii="Times New Roman" w:hAnsi="Times New Roman" w:cs="Times New Roman"/>
        </w:rPr>
        <w:t>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Concílio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Vaticano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II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reitera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afirmação.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sacramentos: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só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supõem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alimentam,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fortificam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exprimem"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(SC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59).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tornar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eficaz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vivido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só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Portanto,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pergunta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essencial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é: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futuros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esposos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cônjuges?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países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antiga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cultura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cristã,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observamos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hoje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colapso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daquelas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séculos,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obviedades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cristã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compreensão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natural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pessoas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batizadas,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evangelizadas.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termos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paradoxais,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catecúmenos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batizados,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pagãos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batizados.</w:t>
      </w:r>
    </w:p>
    <w:p w14:paraId="32C92DBE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Nessa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partir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lista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ensinamentos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mandamentos,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fixarmo-nos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chamadas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"questões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candentes".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queremos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evitar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perguntas,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partir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radical,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seja,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raiz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primeiros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elementos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Hb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5,12)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percorrer,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passo,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caminho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(FC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9;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EG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3.439).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caminho;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história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salvação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fez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caminho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conosco;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história,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fez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caminho.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Hoje,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percorrê-lo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pessoas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presente.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ninguém.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Só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apresentá-la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propô-la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felicidade.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Evangelho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só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convencer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através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profunda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beleza.</w:t>
      </w:r>
    </w:p>
    <w:p w14:paraId="6AEC9BAD" w14:textId="77777777" w:rsidR="007F23E2" w:rsidRPr="007F23E2" w:rsidRDefault="007F23E2" w:rsidP="007F23E2">
      <w:pPr>
        <w:shd w:val="clear" w:color="auto" w:fill="FFFFFF"/>
        <w:spacing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pacing w:val="-15"/>
        </w:rPr>
      </w:pPr>
      <w:r w:rsidRPr="007F23E2">
        <w:rPr>
          <w:rFonts w:ascii="Times New Roman" w:eastAsia="Times New Roman" w:hAnsi="Times New Roman" w:cs="Times New Roman"/>
          <w:b/>
          <w:bCs/>
          <w:spacing w:val="-15"/>
        </w:rPr>
        <w:t>1.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A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família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na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ordem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da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criação</w:t>
      </w:r>
    </w:p>
    <w:p w14:paraId="121D2AE5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Evangelho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remonta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primórdios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humanidade.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Foi-lhe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Criador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caminho.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Portanto,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instituição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apreciada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culturas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humanidade.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entendida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comunidade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juntamente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filhos.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tradição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características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diferentes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diversas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culturas.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origem,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estava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inserida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grande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clã.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instituição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embora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diferenças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particulares,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ordem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original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cultura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humanidade.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sucesso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estabelecer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hoje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definição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contradiga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tradição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cultural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história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humanidade.</w:t>
      </w:r>
    </w:p>
    <w:p w14:paraId="04034E2A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antigas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culturas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consideravam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próprios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costumes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leis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ordem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familiar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ordem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divina.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respeito,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dependiam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existência,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futuro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povo.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contexto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período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axial,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gregos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falavam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maneira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mitológica,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certo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sentido,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iluminada,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ordem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fundada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natureza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Paulo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assumiu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pensar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falou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lei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moral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natural,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inscrita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coração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Rm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14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s.).</w:t>
      </w:r>
    </w:p>
    <w:p w14:paraId="0DDA52DD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Todas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culturas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conhecem,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outro,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regra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áurea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impõe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respeite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outro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discurso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montanha,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Jesus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reiterou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regra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áurea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Mt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7,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12;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Lc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6,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31).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Nela,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está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plantando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gérmen,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mandamento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próximo,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próximo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Mt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22,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39).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regra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áurea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considerada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síntese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direito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natural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ensinam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lei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profetas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Mt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7,12;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22,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40;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Lc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6,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31).</w:t>
      </w:r>
    </w:p>
    <w:p w14:paraId="0BA9A535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direito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natural,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encontra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expressão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regra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áurea,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torna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possível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diálogo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pessoas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boa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vontade.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Oferece-nos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critério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avaliar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poligamia,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casamentos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forçados,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violência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casamento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machismo,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discriminação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mulheres,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prostituição,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condições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econômicas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modernas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hostis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trabalho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salariais.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pergunta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decisiva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sempre: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relação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filhos,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corresponde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direito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dignidade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outro?</w:t>
      </w:r>
    </w:p>
    <w:p w14:paraId="06338938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Embora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útil,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direito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natural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permanece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genérico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questões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concretas,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ambíguo.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revelação,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encontro.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revelação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interpreta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concreto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reconhecer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vista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direito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natural.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Antigo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Testamento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ganhou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impulso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sabedoria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tradição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antigo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Oriente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época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através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longo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processo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educativo,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aperfeiçoou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luz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Yahweh</w:t>
      </w:r>
      <w:proofErr w:type="spellEnd"/>
      <w:r w:rsidRPr="007F23E2">
        <w:rPr>
          <w:rFonts w:ascii="Times New Roman" w:hAnsi="Times New Roman" w:cs="Times New Roman"/>
        </w:rPr>
        <w:t>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tábua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decálogo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Ex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20,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12-17;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Dt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5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5</w:t>
      </w:r>
      <w:proofErr w:type="spellEnd"/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16-21)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resultado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processo.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Jesus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confirmou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Mt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19),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Padres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estavam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convencidos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mandamentos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tábua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decálogo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correspondiam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mandamentos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consciência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moral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homens.</w:t>
      </w:r>
    </w:p>
    <w:p w14:paraId="0223EE35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mandamentos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tábua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decálogo,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portanto,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moral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especial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judaico-cristã.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tradições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concretizadas.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Neles,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valores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fundamentais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familiar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confiados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proteção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particular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Deus: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respeito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pelos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cuidado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idosos,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inviolabilidade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proteção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nasce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propriedade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base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relações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recíprocas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verdadeiras,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existir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comunidade.</w:t>
      </w:r>
    </w:p>
    <w:p w14:paraId="377617F5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mandamentos,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homens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modelo,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espécie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bússola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caminho.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isso,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Bíblia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entende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mandamentos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ônus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limitação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liberdade;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alegra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mandamento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Sl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112,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119).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indicações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caminho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feliz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realizada.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impostos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ninguém,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propostos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boa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razão,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caminho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felicidade.</w:t>
      </w:r>
    </w:p>
    <w:p w14:paraId="4881EE65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Evangelho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Antigo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Testamento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chega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conclusão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primeiros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capítulos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Gênesis</w:t>
      </w:r>
      <w:r w:rsidRPr="007F23E2">
        <w:rPr>
          <w:rFonts w:ascii="Times New Roman" w:hAnsi="Times New Roman" w:cs="Times New Roman"/>
        </w:rPr>
        <w:t>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contêm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antiquíssimas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tradições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humanidade,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interpretadas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maneira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crítica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aprofundadas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luz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Yahweh</w:t>
      </w:r>
      <w:proofErr w:type="spellEnd"/>
      <w:r w:rsidRPr="007F23E2">
        <w:rPr>
          <w:rFonts w:ascii="Times New Roman" w:hAnsi="Times New Roman" w:cs="Times New Roman"/>
        </w:rPr>
        <w:t>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estabelecido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cânone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Bíblia,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conjunto,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primeiro,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programático,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ajuda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hermenêutica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leitura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interpretação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Bíblia.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Neles,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apresentado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desígnio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original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possível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extrapolar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três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afirmações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fundamentais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partir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deles.</w:t>
      </w:r>
    </w:p>
    <w:p w14:paraId="3BA361BF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1.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imagem;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imagem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criou;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mulher"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Gn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27).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duplo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gênero,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boa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ótima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solteiro: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sozinho.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fazer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auxiliar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lhe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semelhante"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(2,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18).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isso,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Adão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acolhe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alegre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grito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boas-vindas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(2,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23).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doados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outro.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completar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sustentar,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comprazer-se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encontrar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alegria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outro.</w:t>
      </w:r>
    </w:p>
    <w:p w14:paraId="05E9BA0D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Ambos,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imagem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têm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dignidade.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há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lugar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discriminação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simplesmente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iguais.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igualdade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dignidade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fundamenta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diversidade,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criação.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ninguém,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mesmos.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tornamos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através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respectiva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cultura,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afirmam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algumas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opiniões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recentes.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fundamentados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ontologicamente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criação.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igual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dignidade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diversidade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explica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atração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dois,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cantada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grandes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poemas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humanidade,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assim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Cântico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Cânticos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Antigo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Testamento.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Querer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torná-los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iguais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ideologia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destrói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erótico.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Bíblia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entende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união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tornar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só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carne,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isto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comunidade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inclui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sexo,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eros</w:t>
      </w:r>
      <w:proofErr w:type="spellEnd"/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amizade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(2,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24).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Nesse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sentido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completo,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criados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imagem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(1Jo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4,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8).</w:t>
      </w:r>
    </w:p>
    <w:p w14:paraId="72933A25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imagem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algo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grande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belo,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divino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só.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Bíblia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desmitiza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</w:t>
      </w:r>
      <w:proofErr w:type="spellStart"/>
      <w:r w:rsidRPr="007F23E2">
        <w:rPr>
          <w:rFonts w:ascii="Times New Roman" w:hAnsi="Times New Roman" w:cs="Times New Roman"/>
        </w:rPr>
        <w:t>baalização</w:t>
      </w:r>
      <w:proofErr w:type="spellEnd"/>
      <w:r w:rsidRPr="007F23E2">
        <w:rPr>
          <w:rFonts w:ascii="Times New Roman" w:hAnsi="Times New Roman" w:cs="Times New Roman"/>
        </w:rPr>
        <w:t>"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vetero</w:t>
      </w:r>
      <w:proofErr w:type="spellEnd"/>
      <w:r w:rsidRPr="007F23E2">
        <w:rPr>
          <w:rFonts w:ascii="Times New Roman" w:hAnsi="Times New Roman" w:cs="Times New Roman"/>
        </w:rPr>
        <w:t>-oriental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sexualidade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prostituição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templos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condena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licenciosidade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idolatria.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parceiro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deifica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outro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espera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dele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lhe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prepare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céu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terra,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outro,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força,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solicitado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demais;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só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decepcionar.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causa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dessas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expectativas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excessivas,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fracassam.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comunidade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filhos,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só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feliz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entendem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reciprocamente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transcende.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Assim,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desemboca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sétimo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celebração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sabbat</w:t>
      </w:r>
      <w:proofErr w:type="spellEnd"/>
      <w:r w:rsidRPr="007F23E2">
        <w:rPr>
          <w:rFonts w:ascii="Times New Roman" w:hAnsi="Times New Roman" w:cs="Times New Roman"/>
        </w:rPr>
        <w:t>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animal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trabalho,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sabbat</w:t>
      </w:r>
      <w:proofErr w:type="spellEnd"/>
      <w:r w:rsidRPr="007F23E2">
        <w:rPr>
          <w:rFonts w:ascii="Times New Roman" w:hAnsi="Times New Roman" w:cs="Times New Roman"/>
        </w:rPr>
        <w:t>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livres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livres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festa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celebração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tempo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livre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passado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outro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(cfr.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Ex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20,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8-10;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Dt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5,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12-14).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sabbat</w:t>
      </w:r>
      <w:proofErr w:type="spellEnd"/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seja,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domingo,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algo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aprender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nossos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amigos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judeus.</w:t>
      </w:r>
    </w:p>
    <w:p w14:paraId="152A8AD7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2.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abençoou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lhes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disse: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'Sejam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fecundos,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multipliquem-se'"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(1,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28).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fechado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mesmo;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transcende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concretiza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filhos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nascem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amor.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transmissão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inseparáveis.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Isso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vale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apenas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gerar,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vai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além.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primeiro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nascimento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continua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social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cultural,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introdução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através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transmissão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valores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isso,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filhos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precisam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espaço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protetor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segurança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afetiva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país;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contrário,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filhos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reforçam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enriquecem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laço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pais.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crianças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alegria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peso.</w:t>
      </w:r>
    </w:p>
    <w:p w14:paraId="1C1D1514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Bíblia</w:t>
      </w:r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fecundidade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realidade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meramente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biológica.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filhos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fruto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bênção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bênção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história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futuro.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bênção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continua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promessa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descendência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Abrão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Gn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12,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2-5;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18,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18;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22,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18).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Assim,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potência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vital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fecundidade,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divinizada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antigo,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entrelaçada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história.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coloca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futuro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povo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existência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mãos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mulher.</w:t>
      </w:r>
    </w:p>
    <w:p w14:paraId="22BE51DF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discurso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parentalidade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responsável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significado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profundo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aquele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lhe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atribuído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geralmente.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Significa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confia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coisa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preciosa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dar,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isto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responsabilidade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decidir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responsavelmente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número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tempos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nascimento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filhos.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fazer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isso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responsabilidade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diante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respeito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dignidade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parceiro,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responsabilidade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relação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filhos,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responsabilidade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relação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futuro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sociedade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respeito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natureza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(GS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50).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resulta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casuística,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figura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sensata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vinculante,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realização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concreta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confiada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responsabilidade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responsabilidade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futuro.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futuro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há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futuro,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envelhecimento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sociedade,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perigo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diante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encontram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sociedades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ocidentais.</w:t>
      </w:r>
    </w:p>
    <w:p w14:paraId="7A5794ED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3.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"Encham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terra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submetam-na"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(1,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28).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vezes,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palavras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submeter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reinar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entendidas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sentido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submissão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violenta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exploração,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atribuindo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cristianismo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culpa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pelos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problemas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ambientais.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biblistas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demonstraram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duas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palavras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entendidas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sentido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submissão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domínio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violento.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narração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cultivar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guardar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(2,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15).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Trata-se,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portanto,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dizemos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hoje,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missão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cultural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cultivar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cuidar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terra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jardim,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guardião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transformá-lo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ambiente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digno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tarefa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cabe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apenas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conjuntamente.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cuidado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responsabilidade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confiada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apenas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terra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geral.</w:t>
      </w:r>
    </w:p>
    <w:p w14:paraId="0CF93BCA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missão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cultural,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relação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transcende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sentimentalismo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gira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torno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mesmo;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fechar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abrir-se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missão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mundo.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apenas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comunidade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pessoal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privada.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célula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fundamental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vital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sociedade.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escola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virtudes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sociais,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necessárias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desenvolvimento da sociedade (G</w:t>
      </w:r>
      <w:r w:rsidRPr="007F23E2">
        <w:rPr>
          <w:rFonts w:ascii="Times New Roman" w:hAnsi="Times New Roman" w:cs="Times New Roman"/>
        </w:rPr>
        <w:t>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47;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52).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fundamental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nascimento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civilização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humanização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personalização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sociedade,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torna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anônima.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Nesse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sentido,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pode-se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falar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tarefa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social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política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(FC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44).</w:t>
      </w:r>
    </w:p>
    <w:p w14:paraId="5077793E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instituição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primordial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humanidade,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antiga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relação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direito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próprio.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ordem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criação,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nunca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Estado.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sempre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possível,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sustentar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promover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interferir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direitos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próprios.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direitos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indicados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carta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fundamentam-se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ordem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(FC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46).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célula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fundamental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sociedade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tempo,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modelo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fundamental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única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resultam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consequências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espécie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ordem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familiar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igual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distribuição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bens,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(EG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176;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258).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Evangelho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tempo,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Evangelho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humanidade.</w:t>
      </w:r>
    </w:p>
    <w:p w14:paraId="12731698" w14:textId="77777777" w:rsidR="007F23E2" w:rsidRPr="007F23E2" w:rsidRDefault="007F23E2" w:rsidP="007F23E2">
      <w:pPr>
        <w:shd w:val="clear" w:color="auto" w:fill="FFFFFF"/>
        <w:spacing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pacing w:val="-15"/>
        </w:rPr>
      </w:pPr>
      <w:r w:rsidRPr="007F23E2">
        <w:rPr>
          <w:rFonts w:ascii="Times New Roman" w:eastAsia="Times New Roman" w:hAnsi="Times New Roman" w:cs="Times New Roman"/>
          <w:b/>
          <w:bCs/>
          <w:spacing w:val="-15"/>
        </w:rPr>
        <w:t>2.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As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estruturas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de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pecado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na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vida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da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família</w:t>
      </w:r>
    </w:p>
    <w:p w14:paraId="64367B3D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agora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constitui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quadro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ideal,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realidade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Bíblia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sabe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disso.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Assim,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capítulos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Gênesis</w:t>
      </w:r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segue-se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capítulo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expulsão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paraíso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realidade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conjugal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familiar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paradisíaca.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alienação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consequência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alienação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homens.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linguagem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tradição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teológica,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definimos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alienação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concupiscência;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entendida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desejo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sexual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desregulado.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evitar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mal-entendido,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vezes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hoje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estruturas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pecado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(FC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9).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agravam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Bíblia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oferece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descrição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realista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conditio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interpretação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partir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fé.</w:t>
      </w:r>
    </w:p>
    <w:p w14:paraId="1922D1F1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primeira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alienação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ocorre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sentem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vergonha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diante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outro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(3,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10).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vergonha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demonstra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harmonia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original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corpo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espírito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perturbada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alienados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outro.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afeto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degenera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desejo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recíproco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domínio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(3,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16).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criticam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acusam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mutuamente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(3,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12).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Violência,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ciúme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discórdia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insinuam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família.</w:t>
      </w:r>
    </w:p>
    <w:p w14:paraId="67DCCAE9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alienação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refere-se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particular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mães.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Agora,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luz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próprios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filhos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fadiga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(3,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16).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criá-los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dor.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Quantas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mães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lamentam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choram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pelos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filhos,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assim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Raquel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chorou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pelos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querer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consolada?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(Jr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31,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15;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Mt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18).</w:t>
      </w:r>
    </w:p>
    <w:p w14:paraId="1C614DF9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alienação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respeito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relação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natureza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mundo.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terra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belo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jardim,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espinhos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ervas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daninhas,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indomável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hostil,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trabalho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tornou-se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duro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difícil.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Agora,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trabalhar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fadiga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rosto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(3,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19).</w:t>
      </w:r>
    </w:p>
    <w:p w14:paraId="5BF91090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Bem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cedo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chega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alienação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disputa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Sobrevêm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inveja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discórdia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irmãos,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fratricídio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guerra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irmãos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(4,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1-16).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Bíblia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infidelidade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cônjuges.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insinua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árvore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genealógica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Jesus;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compreende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duas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Tamar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Urias</w:t>
      </w:r>
      <w:r w:rsidRPr="007F23E2">
        <w:rPr>
          <w:rFonts w:ascii="Times New Roman" w:hAnsi="Times New Roman" w:cs="Times New Roman"/>
        </w:rPr>
        <w:t>),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consideradas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pecadoras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Mt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5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s.).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Jesus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tinha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antepassados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provinham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boa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família"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preferiria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calar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manter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escondidos.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Bíblia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aqui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realista,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honesta.</w:t>
      </w:r>
    </w:p>
    <w:p w14:paraId="7CFD4C9C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Enfim,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há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alienação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importante,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morte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(3,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19;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cfr.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Rm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5,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12)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forças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morte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enfurecem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mundo,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trazendo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chagas,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luto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perdição.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Trazem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sofrimento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Pensemos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apenas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acontece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mãe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encontra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diante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túmulo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próprio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filho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cônjuges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dizer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adeus,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algo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particularmente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penoso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felizes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pessoas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idosas,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vezes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significa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dolorosos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solidão.</w:t>
      </w:r>
    </w:p>
    <w:p w14:paraId="1C70F6E2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Quando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falamos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beleza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partir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irrealista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imagem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romântica.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duras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realidades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participar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tristeza,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preocupações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lágrimas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realismo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bíblico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oferecer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certa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consolação.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mostra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aquilo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choramos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algo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hoje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fundo,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sempre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assim.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ceder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tentação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idealizar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passado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depois,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está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alguns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ambientes,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presente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história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decadência.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saudade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bons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velhos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tempos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lamentações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jovens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gerações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existem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existe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geração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velha.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só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Papa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Francisco</w:t>
      </w:r>
      <w:r w:rsidRPr="007F23E2">
        <w:rPr>
          <w:rFonts w:ascii="Times New Roman" w:hAnsi="Times New Roman" w:cs="Times New Roman"/>
        </w:rPr>
        <w:t>)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hyperlink r:id="rId7" w:history="1">
        <w:r w:rsidRPr="007F23E2">
          <w:rPr>
            <w:rFonts w:ascii="Times New Roman" w:hAnsi="Times New Roman" w:cs="Times New Roman"/>
            <w:b/>
            <w:bCs/>
            <w:u w:val="single"/>
            <w:bdr w:val="none" w:sz="0" w:space="0" w:color="auto" w:frame="1"/>
          </w:rPr>
          <w:t>hospital</w:t>
        </w:r>
        <w:r w:rsidR="00C10E43">
          <w:rPr>
            <w:rFonts w:ascii="Times New Roman" w:hAnsi="Times New Roman" w:cs="Times New Roman"/>
            <w:b/>
            <w:bCs/>
            <w:u w:val="single"/>
            <w:bdr w:val="none" w:sz="0" w:space="0" w:color="auto" w:frame="1"/>
          </w:rPr>
          <w:t xml:space="preserve"> </w:t>
        </w:r>
        <w:r w:rsidRPr="007F23E2">
          <w:rPr>
            <w:rFonts w:ascii="Times New Roman" w:hAnsi="Times New Roman" w:cs="Times New Roman"/>
            <w:b/>
            <w:bCs/>
            <w:u w:val="single"/>
            <w:bdr w:val="none" w:sz="0" w:space="0" w:color="auto" w:frame="1"/>
          </w:rPr>
          <w:t>de</w:t>
        </w:r>
        <w:r w:rsidR="00C10E43">
          <w:rPr>
            <w:rFonts w:ascii="Times New Roman" w:hAnsi="Times New Roman" w:cs="Times New Roman"/>
            <w:b/>
            <w:bCs/>
            <w:u w:val="single"/>
            <w:bdr w:val="none" w:sz="0" w:space="0" w:color="auto" w:frame="1"/>
          </w:rPr>
          <w:t xml:space="preserve"> </w:t>
        </w:r>
        <w:r w:rsidRPr="007F23E2">
          <w:rPr>
            <w:rFonts w:ascii="Times New Roman" w:hAnsi="Times New Roman" w:cs="Times New Roman"/>
            <w:b/>
            <w:bCs/>
            <w:u w:val="single"/>
            <w:bdr w:val="none" w:sz="0" w:space="0" w:color="auto" w:frame="1"/>
          </w:rPr>
          <w:t>campanha</w:t>
        </w:r>
      </w:hyperlink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hospital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campo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feridas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enfaixar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tantas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lágrimas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enxugar,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onde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preciso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continuar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criando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reconciliação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paz.</w:t>
      </w:r>
    </w:p>
    <w:p w14:paraId="34BBF978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terceiro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capítulo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Gênesis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acende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luz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esperança.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Expulsando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paraíso,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lhe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esperança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lhe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acompanhar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caminho.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tradição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define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protoevangelho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Gn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15)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entendido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protoevangelho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descendência,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nascerá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Salvador.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genealogias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Mateus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e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Lucas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Mt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1-7;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Lc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23-38)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testemunham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sucessão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gerações,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sofrendo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alguns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abalos,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nasceu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Salvador.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escrever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certo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linhas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tortas.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isso,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acompanhando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homens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caminho,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profetas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desventura,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portadores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esperança,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oferecem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consolação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difíceis,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encorajam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seguir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frente.</w:t>
      </w:r>
    </w:p>
    <w:p w14:paraId="2A5E415E" w14:textId="77777777" w:rsidR="007F23E2" w:rsidRPr="007F23E2" w:rsidRDefault="007F23E2" w:rsidP="007F23E2">
      <w:pPr>
        <w:shd w:val="clear" w:color="auto" w:fill="FFFFFF"/>
        <w:spacing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pacing w:val="-15"/>
        </w:rPr>
      </w:pPr>
      <w:r w:rsidRPr="007F23E2">
        <w:rPr>
          <w:rFonts w:ascii="Times New Roman" w:eastAsia="Times New Roman" w:hAnsi="Times New Roman" w:cs="Times New Roman"/>
          <w:b/>
          <w:bCs/>
          <w:spacing w:val="-15"/>
        </w:rPr>
        <w:t>3.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A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família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na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ordem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cristã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da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redenção</w:t>
      </w:r>
    </w:p>
    <w:p w14:paraId="7CFE85A4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Jesus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história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familiar.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Cresceu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Nazaré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Lc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51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s.).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faziam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irmãos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irmãs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sentido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lato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(Mc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1-33;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6,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3),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parentes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distantes,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evidentemente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íntimos,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Isabel</w:t>
      </w:r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Zacarias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João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Batista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Lc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35;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39-56).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início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pública,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Jesus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participou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celebração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bodas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Caná</w:t>
      </w:r>
      <w:proofErr w:type="spellEnd"/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realizando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primeiro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milagre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Jo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1-12).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colocou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obra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sinal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alegria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matrimonial.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Esposo,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tiveram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início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escatológico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tempo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alegria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anunciados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pelos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profetas.</w:t>
      </w:r>
    </w:p>
    <w:p w14:paraId="4B59E441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afirmação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fundamental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Jesus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encontra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famosas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palavras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divórcio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Mt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19,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3-9).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Moisés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havia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admitido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determinações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condições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Dt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24,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1);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condições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motivo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controvérsia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diversas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escolas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escribas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judeus.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Jesus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deixa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envolver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casuística,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fazendo,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invés,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referência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vontade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original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Deus: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início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criação,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assim".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discípulos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assustam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afirmação.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Consideram-na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ataque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inaudito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concepção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circunda,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pretensão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impiedosa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excessiva.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condição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convém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casar".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Jesus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confirma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indiretamente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vista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trata-se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pretensão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excessiva.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"concedida"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graça.</w:t>
      </w:r>
    </w:p>
    <w:p w14:paraId="52967F3C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palavra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"concedido"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mostra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palavras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Jesus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entendidas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isolado,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contexto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abrangente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mensagem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reino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Jesus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derivar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repúdio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dureza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coração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Mt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19,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8),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fecha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próximo.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vinda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reino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cumpriu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palavra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profetas,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tempo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messiânico,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transformaria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coração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endurecido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coração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duro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pedra,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coração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carne,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terno,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sensível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empático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Ez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36,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26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s.;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cfr.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31,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33;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51,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12).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adultério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início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coração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Mt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5,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28),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só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ocorrer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através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conversão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coração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isso,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Jesus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tomou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distância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dureza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coração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hipocrisia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punições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draconianas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infligidas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adúltera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concedeu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perdão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acusada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adultério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Jo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8,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2-11;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cfr.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Lc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7,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36-50).</w:t>
      </w:r>
    </w:p>
    <w:p w14:paraId="729BF0AB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boa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Jesus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aliança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estreitada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pelos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cônjuges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abraçada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sustentada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aliança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fidelidade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continua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existindo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frágil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laço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torna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fraco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morre.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promessa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definitiva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aliança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fidelidade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priva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vínculo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arbitrariedade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humana;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confere-lhe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solidez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estabilidade.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vínculo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estreita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torno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esposos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mal-entendido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se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quisesse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compreendê-lo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jugo;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invés,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primorosa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promessa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fidelidade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encorajamento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constante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força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manter,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alternadas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vicissitudes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fidelidade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recíproca.</w:t>
      </w:r>
    </w:p>
    <w:p w14:paraId="636CC216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Dessa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mensagem,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Agostinho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tirou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doutrina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indissolubilidade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vínculo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matrimonial,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continua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subsistindo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onde,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humanamente,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despedaça.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hoje,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têm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dificuldade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compreendê-la.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doutrina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entendida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espécie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hipóstase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metafísica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acima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pessoal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cônjuges;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outro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lado,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esgota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afetivo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recíproco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morre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(GS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48;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EG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66).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Evangelho,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seja,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palavra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definitiva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promessa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permanentemente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válida.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leva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sério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liberdade.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próprio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dignidade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tomar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decisões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definitivas.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pertencem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permanente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história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pessoa;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caracterizam-na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duradouro;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possível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tirá-las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cima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ombros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fazer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nunca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tomadas.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despedaçadas,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cria-se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ferida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profunda.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feridas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curadas,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cicatriz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permanece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continua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fazendo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mal;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continuar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vivendo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fadiga.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semelhante,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boa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Jesus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graças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misericórdia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converte,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possíveis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perdão,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início.</w:t>
      </w:r>
    </w:p>
    <w:p w14:paraId="5E5EAA78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Paulo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retoma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mensagem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Jesus.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Senhor"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(1Cor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7,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20).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refere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forma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eclesial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desenvolveu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definitivo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só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diversos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séculos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depois,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decreto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Tametsi</w:t>
      </w:r>
      <w:proofErr w:type="spellEnd"/>
      <w:r w:rsidR="00C10E43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Concílio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de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Trento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(1563).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"tábuas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família"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Col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18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-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4,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1;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Ef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5,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21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–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6,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9;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Pd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18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-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7)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mostram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Senhor"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refere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início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relação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marido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filhos,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senhores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escravos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vivem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tábuas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retomam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ordem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patriarcal,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modificando-a,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porém,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Senhor".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Através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Senhor",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submissão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unilateral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torna-se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relação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recíproca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amor,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caracterizará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outras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relações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familiares.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Paulo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–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algo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singular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revolucionário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antiguidade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–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diferença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aqueles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Cristo"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(Gal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28).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Assim,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"tábuas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família"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exemplo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força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cristã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modifica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caracteriza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normas.</w:t>
      </w:r>
    </w:p>
    <w:p w14:paraId="70BEADAF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Carta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aos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Efésios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vai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além.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Retoma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metáfora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vetero</w:t>
      </w:r>
      <w:proofErr w:type="spellEnd"/>
      <w:r w:rsidRPr="007F23E2">
        <w:rPr>
          <w:rFonts w:ascii="Times New Roman" w:hAnsi="Times New Roman" w:cs="Times New Roman"/>
        </w:rPr>
        <w:t>-testamentária,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testemunhada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particular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em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Oseias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(2,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18-25),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vínculo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matrimonial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definição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aliança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povo.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Cristo</w:t>
      </w:r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aliança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cumpriu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aperfeiçoou.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Assim,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vínculo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torna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símbolo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concreto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aliança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homens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cumpriu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Jesus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Aquela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inícios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mundo,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realidade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boa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agora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torna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símbolo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ilustra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mistério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Ef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5,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32).</w:t>
      </w:r>
    </w:p>
    <w:p w14:paraId="5E1A0896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Concílio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de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Trento</w:t>
      </w:r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base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desenvolvimento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história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teologia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concluiu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século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XII,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identificava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afirmação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referência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sacramentalidade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(DH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1799;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cfr.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DH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1327).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teologia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recente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busca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aprofundar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motivação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cristológica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mediante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trinitária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entende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representação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mistério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comunhão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trinitária.</w:t>
      </w:r>
    </w:p>
    <w:p w14:paraId="27C83FA1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sacramento,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instrumento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consequências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pecado,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instrumento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graça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santificante.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Pode-se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aplicar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ensinamento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dizer: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entrando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história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Jesus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curou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santificou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ordem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salvação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abrange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ordem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criação.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hostil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corpo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sexualidade;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incluir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sexo,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eros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amizade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purificando-os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aperfeiçoando-os.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semelhante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santidade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santidade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grandeza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estática.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constantemente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ameaçada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dureza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coração.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continuar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percorrendo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caminho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conversão,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renovação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maturação.</w:t>
      </w:r>
    </w:p>
    <w:p w14:paraId="483DD4DC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Assim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está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caminho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via</w:t>
      </w:r>
      <w:r w:rsidR="00C10E43">
        <w:rPr>
          <w:rFonts w:ascii="Times New Roman" w:hAnsi="Times New Roman" w:cs="Times New Roman"/>
        </w:rPr>
        <w:t xml:space="preserve"> da conversão e da renovação (LG </w:t>
      </w:r>
      <w:r w:rsidRPr="007F23E2">
        <w:rPr>
          <w:rFonts w:ascii="Times New Roman" w:hAnsi="Times New Roman" w:cs="Times New Roman"/>
        </w:rPr>
        <w:t>8),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encontram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caminho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cruz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ressurreição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(FC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12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s.),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lei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gradualidade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continuar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crescendo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sempre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profundo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mistério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(PC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9.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34).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lei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gradualidade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parece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coisa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importantíssima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pastoral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matrimonial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familiar.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significa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gradualidade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lei,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sim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gradualidade</w:t>
      </w:r>
      <w:proofErr w:type="spellEnd"/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isto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crescimento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compreensão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realização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lei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Evangelho,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lei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liberdade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Tg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25;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12),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hoje,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tantos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fiéis,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tornaram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difíceis.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Precisam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tempo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acompanhadores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pacientes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caminho.</w:t>
      </w:r>
    </w:p>
    <w:p w14:paraId="071BDFCE" w14:textId="77777777" w:rsidR="007F23E2" w:rsidRPr="007F23E2" w:rsidRDefault="00C10E43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coração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novo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sempre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exige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uma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nova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formação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coração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pressupõe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uma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cultura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coração.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vida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familiar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deve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ser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cultivada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segundo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três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palavras-chave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Santo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Padre: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com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licença,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obrigado,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desculpe.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preciso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ter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tempo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uns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para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outros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festejar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juntos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proofErr w:type="spellStart"/>
      <w:r w:rsidR="007F23E2"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sabbat</w:t>
      </w:r>
      <w:proofErr w:type="spellEnd"/>
      <w:r w:rsidR="007F23E2" w:rsidRPr="007F23E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dar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sempre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prova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piedade,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perdão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paciência;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são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necessários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contínuos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sinais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benevolência,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apreciação,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afeto,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gratidão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amor.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oração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comum,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sacramento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penitência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celebração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comum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eucaristia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são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uma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ajuda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para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continuar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solidificar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novamente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vínculo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matrimônio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que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Deus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estreitou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torno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dos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cônjuges.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sempre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bonito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encontrar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casais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mais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idosos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que,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mesmo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idade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avançada,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estão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apaixonados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uma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maneira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que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tornou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mais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madura.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Isso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também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sinal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uma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humanidade</w:t>
      </w:r>
      <w:r>
        <w:rPr>
          <w:rFonts w:ascii="Times New Roman" w:hAnsi="Times New Roman" w:cs="Times New Roman"/>
        </w:rPr>
        <w:t xml:space="preserve"> </w:t>
      </w:r>
      <w:r w:rsidR="007F23E2" w:rsidRPr="007F23E2">
        <w:rPr>
          <w:rFonts w:ascii="Times New Roman" w:hAnsi="Times New Roman" w:cs="Times New Roman"/>
        </w:rPr>
        <w:t>redimida.</w:t>
      </w:r>
    </w:p>
    <w:p w14:paraId="53659A2E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Bíblia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termina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escatológico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Cordeiro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Ap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19,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7-9).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tornam,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assim,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símbolo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escatológico.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celebração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núpcias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terrenas,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antecipam-se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núpcias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Cordeiro,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isso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alegres,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esplêndidas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solenes,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alegria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irradiar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matrimonial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familiar.</w:t>
      </w:r>
    </w:p>
    <w:p w14:paraId="7BD8C753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antecipação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escatológica,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terreno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tempo,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relativizado.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Jesus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viveu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–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algo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insólito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rabi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–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celibato,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pedindo,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segui-lo,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disposto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deixar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Mt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10,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37)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àqueles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dado,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viver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celibato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reino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celeste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Mt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19,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12).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Paulo</w:t>
      </w:r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celibato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cena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melhor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caminho.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liberdade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indivisível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causa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Senhor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(1Cor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7,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25-38).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celibato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livremente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escolhido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torna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sociologicamente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reconhecida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causa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alternativa,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obrigação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social,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livre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escolha.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Sobretudo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casadas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agora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reconhecidas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marido.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Assim,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celibato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valorizam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sustentam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mutuamente,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ambos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juntos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infelizmente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estamos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experimentando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agora.</w:t>
      </w:r>
    </w:p>
    <w:p w14:paraId="4663BB94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estamos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vivendo.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Evangelho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compreensível,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decaiu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profunda.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consideram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vivível.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fazer?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belas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palavras,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sozinhas,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pouco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servem.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Jesus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indica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caminho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realista.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abandonado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próprio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parceiro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crescido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criança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jovem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contatos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própria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nunca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está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sozinho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perdido.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irmãos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irmãs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Mt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12,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48-50;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19,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27-29).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Evangelho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concretiza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doméstica;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nela,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tornar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novamente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vivível.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novamente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atual.</w:t>
      </w:r>
    </w:p>
    <w:p w14:paraId="7B20037D" w14:textId="77777777" w:rsidR="007F23E2" w:rsidRPr="007F23E2" w:rsidRDefault="007F23E2" w:rsidP="007F23E2">
      <w:pPr>
        <w:shd w:val="clear" w:color="auto" w:fill="FFFFFF"/>
        <w:spacing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pacing w:val="-15"/>
        </w:rPr>
      </w:pPr>
      <w:r w:rsidRPr="007F23E2">
        <w:rPr>
          <w:rFonts w:ascii="Times New Roman" w:eastAsia="Times New Roman" w:hAnsi="Times New Roman" w:cs="Times New Roman"/>
          <w:b/>
          <w:bCs/>
          <w:spacing w:val="-15"/>
        </w:rPr>
        <w:t>4.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A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família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como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Igreja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doméstica</w:t>
      </w:r>
    </w:p>
    <w:p w14:paraId="1632D3BD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Novo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Testamento</w:t>
      </w:r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(1Pd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5;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4,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17;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1Tm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15;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Hb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10,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21).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liturgia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vezes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define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Familia</w:t>
      </w:r>
      <w:proofErr w:type="spellEnd"/>
      <w:r w:rsidR="00C10E43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Dei</w:t>
      </w:r>
      <w:r w:rsidRPr="007F23E2">
        <w:rPr>
          <w:rFonts w:ascii="Times New Roman" w:hAnsi="Times New Roman" w:cs="Times New Roman"/>
        </w:rPr>
        <w:t>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todos;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nela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sentir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antigo,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vezes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faziam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chefe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filhos,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parentes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viviam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escravos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vezes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amigos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hóspedes.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nesse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contexto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pensar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contado,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comunidade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primórdios,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primeiros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cristãos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reuniam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(At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26;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5,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42).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vezes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conversão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inteiras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(At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11,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14;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16,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15;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31,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33).</w:t>
      </w:r>
    </w:p>
    <w:p w14:paraId="36F1C0EB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Paulo</w:t>
      </w:r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ordenada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casas,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isto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domésticas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Rm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16,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5;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1Cor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16,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19;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Col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4,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15;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Fm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Constituam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apoio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viagens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missionárias,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centro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fundação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pedra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construção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comunidade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local,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lugar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oração,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ensino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catequético,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fraternidade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cristã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hospitalidade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relação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cristãos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passagens.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Antes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virada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constantiniana</w:t>
      </w:r>
      <w:proofErr w:type="spellEnd"/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provavelmente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lugar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encontro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celebração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ceia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Senhor.</w:t>
      </w:r>
    </w:p>
    <w:p w14:paraId="7382C73E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seguida,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história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domésticas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desempenharam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papel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importante: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preciso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lembrar,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particular,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comunidades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leigas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ainda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Média,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comunidades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pietistas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livres,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quais,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vista,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algo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aprender.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católicas,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havia,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ainda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há,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pequenos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altares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domésticos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(cantos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crucifixo),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possível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reunir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noite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momentos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particulares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(Advento,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vigília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Natal,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necessidade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calamidade,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assim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diante)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rezar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juntos.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Vale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pensar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bênção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filhos,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símbolos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religiosos,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sobretudo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cruz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habitação,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água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santa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lembrar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água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batismal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ainda.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belos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costumes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piedade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popular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merecem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renovados.</w:t>
      </w:r>
    </w:p>
    <w:p w14:paraId="7B22877C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Concílio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Vaticano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II</w:t>
      </w:r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reconectando-se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Crisóstomo</w:t>
      </w:r>
      <w:proofErr w:type="spellEnd"/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retomou</w:t>
      </w:r>
      <w:r w:rsidR="00C10E43">
        <w:rPr>
          <w:rFonts w:ascii="Times New Roman" w:hAnsi="Times New Roman" w:cs="Times New Roman"/>
        </w:rPr>
        <w:t xml:space="preserve"> a ideia da Igreja doméstica (LG </w:t>
      </w:r>
      <w:r w:rsidRPr="007F23E2">
        <w:rPr>
          <w:rFonts w:ascii="Times New Roman" w:hAnsi="Times New Roman" w:cs="Times New Roman"/>
        </w:rPr>
        <w:t>11;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11).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Aquelas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documentos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Concílio,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apenas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breves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referências,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documentos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pós-conciliares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tornaram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capítulos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extensos.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Sobretudo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carta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apostólica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Evangelii</w:t>
      </w:r>
      <w:proofErr w:type="spellEnd"/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 xml:space="preserve"> </w:t>
      </w:r>
      <w:proofErr w:type="spellStart"/>
      <w:r w:rsidRPr="007F23E2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nuntiandi</w:t>
      </w:r>
      <w:proofErr w:type="spellEnd"/>
      <w:r w:rsidR="00C10E43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</w:rPr>
        <w:t>(1975)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prosseguiu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impulso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Concílio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pós-Concílio.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Definiu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comunidades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eclesiais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base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esperança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universal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(EN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58,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71).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América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Latina</w:t>
      </w:r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África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Ásia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Filipinas</w:t>
      </w:r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Índia</w:t>
      </w:r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Coreia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assim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diante),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domésticas,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forma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comunidades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base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Basic</w:t>
      </w:r>
      <w:r w:rsidR="00C10E43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Christian</w:t>
      </w:r>
      <w:r w:rsidR="00C10E43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Communities</w:t>
      </w:r>
      <w:proofErr w:type="spellEnd"/>
      <w:r w:rsidRPr="007F23E2">
        <w:rPr>
          <w:rFonts w:ascii="Times New Roman" w:hAnsi="Times New Roman" w:cs="Times New Roman"/>
        </w:rPr>
        <w:t>)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pequenas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comunidades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cristãs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Small</w:t>
      </w:r>
      <w:proofErr w:type="spellEnd"/>
      <w:r w:rsidR="00C10E43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Christian</w:t>
      </w:r>
      <w:r w:rsidR="00C10E43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Communities</w:t>
      </w:r>
      <w:proofErr w:type="spellEnd"/>
      <w:r w:rsidRPr="007F23E2">
        <w:rPr>
          <w:rFonts w:ascii="Times New Roman" w:hAnsi="Times New Roman" w:cs="Times New Roman"/>
        </w:rPr>
        <w:t>),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tornaram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receita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pastoral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sucesso.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particular,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minoria,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diáspora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perseguição,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tornaram-se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questão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sobrevivência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Igreja.</w:t>
      </w:r>
    </w:p>
    <w:p w14:paraId="76B4AAE3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Enquanto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isso,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impulsos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provenientes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América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Latina</w:t>
      </w:r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África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Ásia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começam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bons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frutos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civilização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ocidental.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Aqui,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antigas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estruturas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popular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demonstram-se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solidárias;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áreas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pastorais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tornaram-se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maiores,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cristãos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novamente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encontram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vezes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minorias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cognitivas.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isso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enquanto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isso,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nuclear,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desenvolvido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partir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século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XVIII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partir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grande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passado,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acabou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estrutural.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condições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trabalho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habitação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modernas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levaram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separação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habitação,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lugar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trabalho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lugares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atividades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tempo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livre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levam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desagregação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unidade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social.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motivos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profissionais,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pais,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vezes,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afastar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períodos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prolongados;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razões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trabalho,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vezes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presentes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apenas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causa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condições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atual,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hostis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nuclear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moderna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encontra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dificuldade.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anônimo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ambiente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metropolitano,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especialmente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periferias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vezes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desoladas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modernas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megalópoles,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pessoas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vivem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ruas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tornaram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pátria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sentido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profundo.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construir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sentido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literal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sentido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figurado.</w:t>
      </w:r>
    </w:p>
    <w:p w14:paraId="0C0CB6A3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domésticas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resposta.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Naturalmente,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simplesmente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replicar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domésticas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primórdios.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Precisamos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grandes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tipo.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nucleares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possam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sobreviver,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inseridas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coesão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familiar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atravessa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gerações,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sobretudo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avós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avôs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desempenham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papel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importante,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círculos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interfamiliares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vizinhos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amigos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crianças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possam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refúgio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ausência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pais,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idosos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sozinhos,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divorciados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sozinhos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possam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encontrar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espécie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comunidades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espirituais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constituem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vezes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âmbito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clima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espiritual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comunidades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familiares.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referências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doméstica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grupos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oração,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grupos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bíblicos,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catequéticos,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ecumênicos.</w:t>
      </w:r>
    </w:p>
    <w:p w14:paraId="5EC73B8B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definir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domésticas?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ecclesiola</w:t>
      </w:r>
      <w:proofErr w:type="spellEnd"/>
      <w:r w:rsidR="00C10E43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in</w:t>
      </w:r>
      <w:r w:rsidR="00C10E43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ecclesia</w:t>
      </w:r>
      <w:proofErr w:type="spellEnd"/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pequena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dentro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Tornam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local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presente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concreta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pessoas.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onde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três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reúnem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nome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Cristo</w:t>
      </w:r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está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deles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Mt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18,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20).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virtude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batismo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confirmação,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comunidades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domésticas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povo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messiânico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(LG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9).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Participam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missão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sacerdotal,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profética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(1Pd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8;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Ap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6;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5,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10;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LG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10-12;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20-38).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Espírito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possuem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sensus</w:t>
      </w:r>
      <w:proofErr w:type="spellEnd"/>
      <w:r w:rsidR="00C10E43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fidei</w:t>
      </w:r>
      <w:proofErr w:type="spellEnd"/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sentido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sentido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intuitivo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prática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conforme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Evangelho.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objeto,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sujeito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pastoral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familiar.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Sobretudo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através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exemplo,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ajudar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penetrar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profundidade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palavra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aplicá-la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maneira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plena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(LG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12;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35;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EG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154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s.).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Espírito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conjunto,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isolar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sectário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communio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ampla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"princípio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católico"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preserva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desagregação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livres,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autônomas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individuais.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Através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unidade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multiplicidade,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igualmente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sinal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sacramental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unidade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(LG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9).</w:t>
      </w:r>
    </w:p>
    <w:p w14:paraId="1C442368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domésticas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dedicam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partilha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Bíblia</w:t>
      </w:r>
      <w:r w:rsidRPr="007F23E2">
        <w:rPr>
          <w:rFonts w:ascii="Times New Roman" w:hAnsi="Times New Roman" w:cs="Times New Roman"/>
        </w:rPr>
        <w:t>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Palavra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obtêm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luz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força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cotidiana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(DV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25;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EG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152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s.).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Diante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ruptura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transmissão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geracional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(EG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70),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têm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importante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tarefa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catequética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guiar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rumo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alegria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Rezam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juntas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pelas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próprias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intenções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pelos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problemas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mundo.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eucaristia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dominical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celebrada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comunidade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inteira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cume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cristã</w:t>
      </w:r>
      <w:r w:rsidR="00C10E43">
        <w:rPr>
          <w:rFonts w:ascii="Times New Roman" w:hAnsi="Times New Roman" w:cs="Times New Roman"/>
        </w:rPr>
        <w:t xml:space="preserve"> (LG </w:t>
      </w:r>
      <w:r w:rsidRPr="007F23E2">
        <w:rPr>
          <w:rFonts w:ascii="Times New Roman" w:hAnsi="Times New Roman" w:cs="Times New Roman"/>
        </w:rPr>
        <w:t>11).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âmbito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familiar,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celebram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Senhor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repouso,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alegria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comunhão,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assim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tempos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litúrgico,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ricos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costumes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(SC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102-111).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lugares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espiritualidade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comunhão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aceitamos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reciprocamente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espírito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amor,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perdão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reconciliação,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compartilham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alegrias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dores,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preocupações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tristezas,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contentamento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felicidade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cotidiana,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domingo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festa.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Através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tudo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isso,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edificam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corpo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(LG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41).</w:t>
      </w:r>
    </w:p>
    <w:p w14:paraId="7D0F136F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natureza,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missionária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(AG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2);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evangelização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identidade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profunda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(EN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14;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59).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domésticas,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chamadas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particular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transmitir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respectivo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ambiente.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têm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tarefa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profética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missionária.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testemunho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sobretudo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testemunho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através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fermento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Mt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13,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33;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2-8;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21;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41;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71;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76;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EG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119-121).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Assim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Jesus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anunciar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Evangelho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pobres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Lc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4,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18;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Mt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11,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5)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chamou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bem-aventurados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aflitos,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pequenos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crianças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Mt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5,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s.;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11,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25;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Lc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6,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20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s.),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Jesus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mandou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discípulos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anunciar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Evangelho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pobres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Lc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7,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22).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isso,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domésticas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comunidades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elitistas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exclusivas.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abrir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sofredores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tipos,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pessoas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simples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pequenos.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saber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Reino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pertence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crianças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(Mc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10,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14;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EG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197-201).</w:t>
      </w:r>
    </w:p>
    <w:p w14:paraId="4669948A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precisam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precisa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presente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centro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modernos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âmbitos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domésticas,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alheia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realidade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concreta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Só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através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onde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pessoas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compreensão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doméstica,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portanto,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fundamental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futuro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evangelização.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primeiras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melhores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mensageiras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Evangelho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caminho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Igreja.</w:t>
      </w:r>
    </w:p>
    <w:p w14:paraId="5B745EDA" w14:textId="77777777" w:rsidR="007F23E2" w:rsidRPr="007F23E2" w:rsidRDefault="007F23E2" w:rsidP="007F23E2">
      <w:pPr>
        <w:shd w:val="clear" w:color="auto" w:fill="FFFFFF"/>
        <w:spacing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pacing w:val="-15"/>
        </w:rPr>
      </w:pPr>
      <w:r w:rsidRPr="007F23E2">
        <w:rPr>
          <w:rFonts w:ascii="Times New Roman" w:eastAsia="Times New Roman" w:hAnsi="Times New Roman" w:cs="Times New Roman"/>
          <w:b/>
          <w:bCs/>
          <w:spacing w:val="-15"/>
        </w:rPr>
        <w:t>5.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O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problema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dos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divorciados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em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segunda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união</w:t>
      </w:r>
    </w:p>
    <w:p w14:paraId="1A67C08B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pensarmos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importância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futuro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número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rápido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crescimento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desagregadas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parece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tragédia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ainda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maior.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Há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sofrimento.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basta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considerar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problema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só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vista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perspectiva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instituição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sacramental;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precisamos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mudança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paradigma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–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fez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samaritano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Lc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10,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29-37)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–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considerar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partir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perspectiva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sofre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ajuda.</w:t>
      </w:r>
    </w:p>
    <w:p w14:paraId="195244D4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Todos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sabem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questões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pessoas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divorciadas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união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problema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complexo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espinhoso.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reduzi-lo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questão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admissão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comunhão.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respeito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pastoral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matrimonial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familiar.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Inicia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já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preparação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atenta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catequese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matrimonial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familiar.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Continua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depois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acompanhamento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pastoral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esposos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famílias;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torna-se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atual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crise.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curadores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farão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possível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contribuir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reconciliação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crise.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cuidado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acaba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depois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fracasso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permanecer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próximos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divorciados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convidá-los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participar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Igreja.</w:t>
      </w:r>
    </w:p>
    <w:p w14:paraId="04273291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Todos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sabem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existem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tentativa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razoável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salvar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resulta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vã.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heroísmo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cônjuges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abandonados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permanecem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sozinhos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frente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sozinhos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merece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admiração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sustento.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cônjuges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abandonados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dependem,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filhos,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relação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civil,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renunciar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culpas.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vezes,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depois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experiências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amargas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passado,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relações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fazem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provem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alegria;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vezes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percebidas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céu.</w:t>
      </w:r>
    </w:p>
    <w:p w14:paraId="6ECB84F8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fazer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situações?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solução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diferente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contrária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palavras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Jesus.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indissolubilidade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sacramental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impossibilidade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durante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outro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parceiro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tradição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vinculante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abandonada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dissolvida,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remetendo-se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compreensão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superficial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misericórdia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baixo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preço.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misericórdia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última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análise,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fidelidade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caridade.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fiel,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misericordioso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misericordiosa,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fiel,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embora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nós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sejamos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infiéis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(2Tm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13).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Misericórdia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fidelidade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juntas.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causa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fidelidade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misericordiosa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existe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absolutamente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privada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esperança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solução.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baixo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cair,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nunca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poderá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cair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abaixo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misericórdia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Deus.</w:t>
      </w:r>
    </w:p>
    <w:p w14:paraId="10B902F3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pergunta,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portanto,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corresponder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binômio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inseparável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fidelidade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misericórdia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pastoral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relação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divorciados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união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civil.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problema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relativamente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recente,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existia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passado,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existe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apenas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introdução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casamento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civil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mediante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Código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Civil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Napoleão</w:t>
      </w:r>
      <w:r w:rsidRPr="007F23E2">
        <w:rPr>
          <w:rFonts w:ascii="Times New Roman" w:hAnsi="Times New Roman" w:cs="Times New Roman"/>
        </w:rPr>
        <w:t>(1804)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introdução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posterior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diversos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países.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responder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últimas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décadas,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passos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importantes.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="00C10E43">
        <w:rPr>
          <w:rFonts w:ascii="Times New Roman" w:hAnsi="Times New Roman" w:cs="Times New Roman"/>
          <w:b/>
          <w:bCs/>
          <w:i/>
          <w:bdr w:val="none" w:sz="0" w:space="0" w:color="auto" w:frame="1"/>
        </w:rPr>
        <w:t>Codex</w:t>
      </w:r>
      <w:proofErr w:type="spellEnd"/>
      <w:r w:rsidR="00C10E43">
        <w:rPr>
          <w:rFonts w:ascii="Times New Roman" w:hAnsi="Times New Roman" w:cs="Times New Roman"/>
          <w:b/>
          <w:bCs/>
          <w:i/>
          <w:bdr w:val="none" w:sz="0" w:space="0" w:color="auto" w:frame="1"/>
        </w:rPr>
        <w:t xml:space="preserve"> Iuris </w:t>
      </w:r>
      <w:proofErr w:type="spellStart"/>
      <w:r w:rsidR="00C10E43">
        <w:rPr>
          <w:rFonts w:ascii="Times New Roman" w:hAnsi="Times New Roman" w:cs="Times New Roman"/>
          <w:b/>
          <w:bCs/>
          <w:i/>
          <w:bdr w:val="none" w:sz="0" w:space="0" w:color="auto" w:frame="1"/>
        </w:rPr>
        <w:t>Canonici</w:t>
      </w:r>
      <w:proofErr w:type="spellEnd"/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(CIC)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1917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cân</w:t>
      </w:r>
      <w:proofErr w:type="spellEnd"/>
      <w:r w:rsidRPr="007F23E2">
        <w:rPr>
          <w:rFonts w:ascii="Times New Roman" w:hAnsi="Times New Roman" w:cs="Times New Roman"/>
        </w:rPr>
        <w:t>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2.356)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divorciados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união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civil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ainda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bígamos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ipso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facto,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infames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acordo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gravidade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culpa,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atingidos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excomunhão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interdição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pessoal.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CIC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1984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cân</w:t>
      </w:r>
      <w:proofErr w:type="spellEnd"/>
      <w:r w:rsidRPr="007F23E2">
        <w:rPr>
          <w:rFonts w:ascii="Times New Roman" w:hAnsi="Times New Roman" w:cs="Times New Roman"/>
        </w:rPr>
        <w:t>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1.093)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prevê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punições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graves;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permaneceram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apenas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restrições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graves.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Familiaris</w:t>
      </w:r>
      <w:proofErr w:type="spellEnd"/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 xml:space="preserve"> </w:t>
      </w:r>
      <w:proofErr w:type="spellStart"/>
      <w:r w:rsidRPr="007F23E2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consortio</w:t>
      </w:r>
      <w:proofErr w:type="spellEnd"/>
      <w:r w:rsidR="00C10E43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</w:rPr>
        <w:t>(24)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Sacramentum</w:t>
      </w:r>
      <w:proofErr w:type="spellEnd"/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 xml:space="preserve"> </w:t>
      </w:r>
      <w:proofErr w:type="spellStart"/>
      <w:r w:rsidRPr="007F23E2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caritatis</w:t>
      </w:r>
      <w:proofErr w:type="spellEnd"/>
      <w:r w:rsidR="00C10E43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</w:rPr>
        <w:t>(29),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enquanto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isso,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falam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amoroso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cristãos.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Asseguram-lhes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excomungados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fazem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convidam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participar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novo.</w:t>
      </w:r>
    </w:p>
    <w:p w14:paraId="24B2EAA3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Hoje,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encontramo-nos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semelhante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último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Concílio.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época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existiam,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exemplo,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questão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ecumenismo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liberdade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religiosa,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encíclicas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decisões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Ofício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pareciam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impedir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outras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vias.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Concílio,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violar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tradição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dogmática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vinculante,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abriu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portas.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perguntar: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possível,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talvez,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desenvolvimento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presente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questão,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promova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abolição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tradição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vinculante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leve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adiante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aprofunde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tradições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recentes?</w:t>
      </w:r>
    </w:p>
    <w:p w14:paraId="7EE03831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resposta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só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diferenciada.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diferentes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distinguidas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cuidado.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solução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geral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portanto,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existir.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Limito-me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duas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situações,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quais,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alguns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documentos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oficiais,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já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indicadas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soluções.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Desejo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apenas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fazer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perguntas,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limitando-me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indicar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direção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respostas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possíveis.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Porém,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resposta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será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tarefa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Sínodo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sintonia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papa.</w:t>
      </w:r>
    </w:p>
    <w:p w14:paraId="7AD8ACDA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Primeira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situação.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Familiaris</w:t>
      </w:r>
      <w:proofErr w:type="spellEnd"/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 xml:space="preserve"> </w:t>
      </w:r>
      <w:proofErr w:type="spellStart"/>
      <w:r w:rsidRPr="007F23E2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consortio</w:t>
      </w:r>
      <w:proofErr w:type="spellEnd"/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</w:rPr>
        <w:t>afirma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alguns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divorciados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união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convencidos,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consciência,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subjetivamente,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anterior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irremediavelmente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despedaçado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nunca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válido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(FC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84).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curadores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convencidos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celebrados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forma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religiosa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contraídos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maneira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válida.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pressupõe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aceitação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características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peculiares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seja,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unidade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indissolubilidade.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atual,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porém,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pressupor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esposos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compartilham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mistério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definido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compreendem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aceitam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realmente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condições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canônicas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validade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matrimônio?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praesumptio</w:t>
      </w:r>
      <w:proofErr w:type="spellEnd"/>
      <w:r w:rsidR="00C10E43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iuris</w:t>
      </w:r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direito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eclesiástico,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talvez,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vezes,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fictio</w:t>
      </w:r>
      <w:proofErr w:type="spellEnd"/>
      <w:r w:rsidR="00C10E43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iuris</w:t>
      </w:r>
      <w:r w:rsidRPr="007F23E2">
        <w:rPr>
          <w:rFonts w:ascii="Times New Roman" w:hAnsi="Times New Roman" w:cs="Times New Roman"/>
        </w:rPr>
        <w:t>?</w:t>
      </w:r>
    </w:p>
    <w:p w14:paraId="656C2D8A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sacramento,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caráter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público,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decisão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validade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deixada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inteiramente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avaliação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subjetiva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pessoa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envolvida.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Direito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Canônico,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avaliação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tarefa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tribunais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eclesiásticos.</w:t>
      </w:r>
    </w:p>
    <w:p w14:paraId="021BFB33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iure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divino,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desenvolveram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historicamente,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perguntamo-nos,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vezes,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judiciária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única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resolver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problema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seriam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possíveis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outros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procedimentos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pastorais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espirituais.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alternativa,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pensar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bispo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confiar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tarefa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sacerdote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experiência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espiritual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pastoral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penitenciário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vigário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episcopal.</w:t>
      </w:r>
    </w:p>
    <w:p w14:paraId="068094DE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Independentemente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resposta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pergunta,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vale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lembrar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discurso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Papa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Francisco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dirigido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24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janeiro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2014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oficiais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Tribunal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da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Rota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Romana</w:t>
      </w:r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afirma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dimensão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jurídica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dimensão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pastoral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contraposição.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contrário,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atividade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judiciária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eclesial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conotação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profundamente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pastoral.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preciso,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portanto,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perguntar: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significa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dimensão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pastoral?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Certamente,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atitude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complacente,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concepção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totalmente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equivocada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pastoral,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misericórdia.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misericórdia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exclui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justiça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entendida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graça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barata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promoção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[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svendita</w:t>
      </w:r>
      <w:proofErr w:type="spellEnd"/>
      <w:r w:rsidRPr="007F23E2">
        <w:rPr>
          <w:rFonts w:ascii="Times New Roman" w:hAnsi="Times New Roman" w:cs="Times New Roman"/>
        </w:rPr>
        <w:t>].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pastoral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misericórdia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contrapõem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justiça,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assim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dizer,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justiça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suprema,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trás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causa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avistam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só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examinar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ótica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regra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geral,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pessoa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nunca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representar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sempre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dignidade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única.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Isso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exige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hermenêutica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jurídica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pastoral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justo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prudência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sabedoria,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aplique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concreta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vezes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complexa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lei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geral,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Papa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Francisco,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hermenêutica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animada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Pastor,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vê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trás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prática,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posição,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causa,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pessoas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esperam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justiça.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Realmente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possível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decida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pessoas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terceira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instância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base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isto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papéis,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conhecer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pessoa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situação?</w:t>
      </w:r>
    </w:p>
    <w:p w14:paraId="0DDBCB1E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Segunda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situação.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errado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buscar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solução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problema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só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generosa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ampliação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procedimento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nulidade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Criar-se-ia,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assim,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perigosa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impressão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procede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desonesto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conceder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aqueles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realidade,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divórcios.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divorciados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querem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declaração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nulidade.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Dizem: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vivemos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juntos,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tivemos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filhos;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realidade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declarar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nula,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vezes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apenas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razão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falta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forma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canônica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primeiro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Portanto,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levar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consideração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questão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difícil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ratificado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consumado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batizados,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comunhão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matrimonial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despedaçou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irremediavelmente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ambos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cônjuges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contraíram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casamento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civil.</w:t>
      </w:r>
    </w:p>
    <w:p w14:paraId="440BE66D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advertência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Congregação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para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a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Doutrina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da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Fé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ainda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1994,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estabeleceu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–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Papa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Bento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XVI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reiterou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durante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encontro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internacional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Milão</w:t>
      </w:r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2012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–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divorciados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união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receber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comunhão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sacramental,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receber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espiritual.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Certamente,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isso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vale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divorciados,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aqueles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espiritualmente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dispostos.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Contudo,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ficarão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agradecidos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resposta,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verdadeira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abertura.</w:t>
      </w:r>
    </w:p>
    <w:p w14:paraId="1793B875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Porém,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levanta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diversas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perguntas.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recebe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comunhão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espiritual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coisa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só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Jesus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Cristo</w:t>
      </w:r>
      <w:r w:rsidRPr="007F23E2">
        <w:rPr>
          <w:rFonts w:ascii="Times New Roman" w:hAnsi="Times New Roman" w:cs="Times New Roman"/>
        </w:rPr>
        <w:t>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portanto,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contradição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mandamento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Cristo?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portanto,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receber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comunhão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sacramental?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excluímos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sacramentos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cristãos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divorciados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união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dispostos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aproximar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deles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encaminhamos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salvação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extrassacramental</w:t>
      </w:r>
      <w:proofErr w:type="spellEnd"/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talvez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colocamos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discussão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estrutura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fundamental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sacramental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Igreja?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servem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sacramentos?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pagamos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preço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resposta?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Alguns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defendem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justamente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participação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comunhão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sinal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sacramento.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pergunta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coloca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resposta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é: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talvez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instrumentalização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pessoa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sofre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ajuda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fazemos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sinal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advertência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outros?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Deixamo-la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sacramentalmente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morrer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fome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outros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vivam?</w:t>
      </w:r>
    </w:p>
    <w:p w14:paraId="19181C00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primórdios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dá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indicação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servir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saída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dilema,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professor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Joseph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Ratzinger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já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acenara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1972.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experimentou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cedo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cristãos,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existe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apostasia.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Durante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perseguições,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houve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cristãos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tornado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fracos,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negaram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próprio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batismo.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esses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lapsi</w:t>
      </w:r>
      <w:proofErr w:type="spellEnd"/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desenvolvera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prática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penitencial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canônica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batismo,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água,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lágrimas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penitência.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Depois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naufrágio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pecado,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náufrago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disposição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navio,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tábua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salvação.</w:t>
      </w:r>
    </w:p>
    <w:p w14:paraId="4CF6E804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análogo,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cristãos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existiam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dureza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coração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Mt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19,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8)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adultério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consequentes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laços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quase-matrimoniais.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resposta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Padres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unívoca.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coisa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certa,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porém,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locais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individuais,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existia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direito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consuetudinário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base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cristãos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ainda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estando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vivo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primeiro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parceiro,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viviam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laço,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depois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tempo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penitência,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tinham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disposição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navio,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através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participação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comunhão,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tábua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salvação.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Orígenes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costume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definindo-o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"não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irrazoável</w:t>
      </w:r>
      <w:proofErr w:type="spellEnd"/>
      <w:r w:rsidRPr="007F23E2">
        <w:rPr>
          <w:rFonts w:ascii="Times New Roman" w:hAnsi="Times New Roman" w:cs="Times New Roman"/>
        </w:rPr>
        <w:t>".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Basílio,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o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Grande</w:t>
      </w:r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Gregório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Nazianzeno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–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padres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ainda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indivisa!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–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fazem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referência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prática.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próprio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Agostinho,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contrário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bastante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severo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questão,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parece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excluído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solução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pastoral.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Padres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queriam,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razões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pastorais,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"evitar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pior",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tolerar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só,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impossível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aceitar.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Portanto,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existia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pastoral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tolerância,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clemência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indulgência,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há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bons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motivos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prática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rigorismo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novacianistas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tenha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confirmada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Concílio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de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Niceia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(325).</w:t>
      </w:r>
    </w:p>
    <w:p w14:paraId="372FCE40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ocorre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vezes,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detalhes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históricos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questões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semelhantes,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há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controvérsias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especialistas.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decisões,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fixar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outra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posição.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Todavia,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princípio,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claro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continuou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buscando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sempre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rigorismo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laxi</w:t>
      </w:r>
      <w:bookmarkStart w:id="0" w:name="_GoBack"/>
      <w:bookmarkEnd w:id="0"/>
      <w:r w:rsidRPr="007F23E2">
        <w:rPr>
          <w:rFonts w:ascii="Times New Roman" w:hAnsi="Times New Roman" w:cs="Times New Roman"/>
        </w:rPr>
        <w:t>smo</w:t>
      </w:r>
      <w:proofErr w:type="spellEnd"/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fazendo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referência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nisso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autoridade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ligar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desligar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Mt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16,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19;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18,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18;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Jo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20,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23)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conferida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Senhor.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Credo,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professamos: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credo</w:t>
      </w:r>
      <w:r w:rsidR="00C10E43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in</w:t>
      </w:r>
      <w:r w:rsidR="00C10E43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remissionem</w:t>
      </w:r>
      <w:proofErr w:type="spellEnd"/>
      <w:r w:rsidR="00C10E43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peccatorum</w:t>
      </w:r>
      <w:proofErr w:type="spellEnd"/>
      <w:r w:rsidRPr="007F23E2">
        <w:rPr>
          <w:rFonts w:ascii="Times New Roman" w:hAnsi="Times New Roman" w:cs="Times New Roman"/>
        </w:rPr>
        <w:t>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Isso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significa: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converteu,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perdão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sempre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possível.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assassino,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adúltero.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Portanto,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penitência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penitência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caminho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ligar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aspectos: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obrigação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Palavra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Senhor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misericórdia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infinita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Nesse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sentido,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misericórdia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graça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barata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dispensa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conversão.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Inversamente,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sacramentos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prêmio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comporta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elite,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excluindo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aqueles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precisam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deles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(EG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47).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misericórdia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corresponde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fidelidade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pecadores,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nós,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nós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precisamos.</w:t>
      </w:r>
    </w:p>
    <w:p w14:paraId="40083D33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pergunta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é: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rigorismo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laxismo</w:t>
      </w:r>
      <w:proofErr w:type="spellEnd"/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conversão,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desemboca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misericórdia,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penitência,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caminho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percorrer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presente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questão?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divorciado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união: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1)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se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arrepende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fracasso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primeiro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2)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esclareceu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obrigações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primeiro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definitivamente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excluiu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volte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atrás;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3)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abandonar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outras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culpas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compromissos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assumidos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civil;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4)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porém,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esforça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viver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melhor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possibilidades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partir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educar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próprios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filhos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5)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desejo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sacramentos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força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negar-lhe,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depois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tempo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orientação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metanoia</w:t>
      </w:r>
      <w:proofErr w:type="spellEnd"/>
      <w:r w:rsidRPr="007F23E2">
        <w:rPr>
          <w:rFonts w:ascii="Times New Roman" w:hAnsi="Times New Roman" w:cs="Times New Roman"/>
        </w:rPr>
        <w:t>),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penitência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depois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comunhão?</w:t>
      </w:r>
    </w:p>
    <w:p w14:paraId="1720A01A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possível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solução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geral.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estrada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larga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grande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massa,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estreito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caminho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provavelmente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menor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divorciados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união,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sinceramente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interessada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sacramentos.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Talvez,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preciso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evitar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pior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justamente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aqui?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filhos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divorciados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união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aproximarem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sacramentos,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frequentemente,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encontram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rumo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confissão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comunhão.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levamos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perderemos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próxima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geração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talvez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seguinte?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práxis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comprovada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demonstra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contraproducente?</w:t>
      </w:r>
    </w:p>
    <w:p w14:paraId="59AABF5D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casamento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civil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descrito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critérios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claros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diferenciado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outras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formas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convivência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"irregular"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casamentos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clandestinos,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sobretudo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fornicação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chamados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casamentos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selvagens.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só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branco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preto;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há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nuances.</w:t>
      </w:r>
    </w:p>
    <w:p w14:paraId="067C3C4A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pressupõe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discretio</w:t>
      </w:r>
      <w:proofErr w:type="spellEnd"/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discernimento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espiritual,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sabedoria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sapiência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pastoral.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monaquismo</w:t>
      </w:r>
      <w:proofErr w:type="spellEnd"/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Bento</w:t>
      </w:r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discretio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mãe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virtudes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virtude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fundamental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abade.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vale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bispo.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Salomão</w:t>
      </w:r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precisa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coração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dócil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saiba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(…)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discernir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mal"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(1Reis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9).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Essa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discretio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fácil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compromisso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extremos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rigorismo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laxismo</w:t>
      </w:r>
      <w:proofErr w:type="spellEnd"/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virtude,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perfeição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desses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extremos,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caminho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saudável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justificada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justa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medida.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Nesse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sentido,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aprender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santos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confessores,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sabiam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fazer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discernimento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espiritual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exemplo,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Santo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Afonso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de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Ligório</w:t>
      </w:r>
      <w:proofErr w:type="spellEnd"/>
      <w:r w:rsidRPr="007F23E2">
        <w:rPr>
          <w:rFonts w:ascii="Times New Roman" w:hAnsi="Times New Roman" w:cs="Times New Roman"/>
        </w:rPr>
        <w:t>).</w:t>
      </w:r>
    </w:p>
    <w:p w14:paraId="67218CC4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Desejo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tal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discretio</w:t>
      </w:r>
      <w:proofErr w:type="spellEnd"/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longo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processo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sinodal,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consigamos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encontrar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resposta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testemunhar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crível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Palavra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humanas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difíceis,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mensagem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fidelidade,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mensagem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misericórdia,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alegria.</w:t>
      </w:r>
    </w:p>
    <w:p w14:paraId="0D2229A7" w14:textId="77777777" w:rsidR="007F23E2" w:rsidRPr="007F23E2" w:rsidRDefault="007F23E2" w:rsidP="007F23E2">
      <w:pPr>
        <w:shd w:val="clear" w:color="auto" w:fill="FFFFFF"/>
        <w:spacing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pacing w:val="-15"/>
        </w:rPr>
      </w:pPr>
      <w:r w:rsidRPr="007F23E2">
        <w:rPr>
          <w:rFonts w:ascii="Times New Roman" w:eastAsia="Times New Roman" w:hAnsi="Times New Roman" w:cs="Times New Roman"/>
          <w:b/>
          <w:bCs/>
          <w:spacing w:val="-15"/>
        </w:rPr>
        <w:t>Conclusão</w:t>
      </w:r>
    </w:p>
    <w:p w14:paraId="72A4951A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isso,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retorno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Evangelho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família".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limitar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debate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divorciados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união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outras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pastorais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difíceis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mencionadas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presente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contexto.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tomar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positivo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redescobrir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anunciar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Evangelho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beleza.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verdade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convence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mediante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beleza.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contribuir,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palavras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fatos,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fazer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pessoas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encontrem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felicidade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possam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outras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testemunho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alegria.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entender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novamente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doméstica,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torná-la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privilegiada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evangelização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renovação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está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caminho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pessoas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pessoas.</w:t>
      </w:r>
    </w:p>
    <w:p w14:paraId="2EF8F172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pessoas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buscam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encontra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realidade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isso,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banco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teste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pastoral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urgência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evangelização.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família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futuro.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constitui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futuro.</w:t>
      </w:r>
    </w:p>
    <w:p w14:paraId="1F536494" w14:textId="77777777" w:rsidR="007F23E2" w:rsidRPr="007F23E2" w:rsidRDefault="007F23E2" w:rsidP="007F23E2">
      <w:pPr>
        <w:shd w:val="clear" w:color="auto" w:fill="FFFFFF"/>
        <w:spacing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pacing w:val="-15"/>
        </w:rPr>
      </w:pPr>
      <w:r w:rsidRPr="007F23E2">
        <w:rPr>
          <w:rFonts w:ascii="Times New Roman" w:eastAsia="Times New Roman" w:hAnsi="Times New Roman" w:cs="Times New Roman"/>
          <w:b/>
          <w:bCs/>
          <w:spacing w:val="-15"/>
        </w:rPr>
        <w:t>Apêndice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1: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Fé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implícita</w:t>
      </w:r>
    </w:p>
    <w:p w14:paraId="5D464427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pedagogia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constante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Padres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Clemente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de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Alexandria</w:t>
      </w:r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Irineu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de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Lyon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assim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diante).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tradição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escolástica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desenvolveu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doutrina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fides</w:t>
      </w:r>
      <w:r w:rsidR="00C10E43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implicita</w:t>
      </w:r>
      <w:proofErr w:type="spellEnd"/>
      <w:r w:rsidRPr="007F23E2">
        <w:rPr>
          <w:rFonts w:ascii="Times New Roman" w:hAnsi="Times New Roman" w:cs="Times New Roman"/>
        </w:rPr>
        <w:t>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impulso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Hb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11,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1.6: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fundamento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coisas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esperam",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aproxima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acreditar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existe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recompensa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aqueles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procuram".</w:t>
      </w:r>
    </w:p>
    <w:p w14:paraId="6BB16375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Tomás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de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Aquino</w:t>
      </w:r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verdadeiro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conteúdo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felicidade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última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providência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histórica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implicitamente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verdades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dizem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respeito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instrumentos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redenção,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portanto,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encarnação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paixão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(S.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th</w:t>
      </w:r>
      <w:proofErr w:type="spellEnd"/>
      <w:r w:rsidRPr="007F23E2">
        <w:rPr>
          <w:rFonts w:ascii="Times New Roman" w:hAnsi="Times New Roman" w:cs="Times New Roman"/>
        </w:rPr>
        <w:t>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II/II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q.1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a.7).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outras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passagens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Tomás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bastante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discordante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elencar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verdades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necessárias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salvação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(p.e.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6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ad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I),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possível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considerar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afirmação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central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implícita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(cfr.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apêndice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Deutsche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 xml:space="preserve"> </w:t>
      </w:r>
      <w:proofErr w:type="spellStart"/>
      <w:r w:rsidRPr="007F23E2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Thomasausgabe</w:t>
      </w:r>
      <w:proofErr w:type="spellEnd"/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vol.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15,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Munique-</w:t>
      </w:r>
      <w:proofErr w:type="spellStart"/>
      <w:r w:rsidRPr="007F23E2">
        <w:rPr>
          <w:rFonts w:ascii="Times New Roman" w:hAnsi="Times New Roman" w:cs="Times New Roman"/>
        </w:rPr>
        <w:t>Salzburgo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1950,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431-437).</w:t>
      </w:r>
    </w:p>
    <w:p w14:paraId="0F4170CC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Assim,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válido,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suficiente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intenção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contraí-lo,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fazem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cristãos,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atrás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relação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requisito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mínimo.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intenção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implica,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só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cultura,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intenção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contrair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coisa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fazem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solenidade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esplendor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maiores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religioso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relação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civil.</w:t>
      </w:r>
    </w:p>
    <w:p w14:paraId="5C910E29" w14:textId="77777777" w:rsidR="007F23E2" w:rsidRPr="007F23E2" w:rsidRDefault="007F23E2" w:rsidP="007F23E2">
      <w:pPr>
        <w:shd w:val="clear" w:color="auto" w:fill="FFFFFF"/>
        <w:spacing w:before="150" w:after="225"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eficácia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sacramento,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imprescindível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acreditar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vivo,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felicidade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providência,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guiar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caminho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rumo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felicidade.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partir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convicção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inicial,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fundamental,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requisito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mínimo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recepção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eficaz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sacramento,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catequese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preparação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religioso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ensinar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indicou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concretamente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caminho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rumo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rumo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felicidade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Jesus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fidelidade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tornam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ativamente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presentes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através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sacramento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acompanhar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esposos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cônjuges,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filhos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lhes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quiser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dar,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futuro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caminho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conduzi-los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felicidade,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Deus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enfim,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eterna.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mistério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concretiza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será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descerrado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passo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passo.</w:t>
      </w:r>
    </w:p>
    <w:p w14:paraId="43D922BF" w14:textId="77777777" w:rsidR="007F23E2" w:rsidRPr="007F23E2" w:rsidRDefault="007F23E2" w:rsidP="007F23E2">
      <w:pPr>
        <w:shd w:val="clear" w:color="auto" w:fill="FFFFFF"/>
        <w:spacing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pacing w:val="-15"/>
        </w:rPr>
      </w:pPr>
      <w:r w:rsidRPr="007F23E2">
        <w:rPr>
          <w:rFonts w:ascii="Times New Roman" w:eastAsia="Times New Roman" w:hAnsi="Times New Roman" w:cs="Times New Roman"/>
          <w:b/>
          <w:bCs/>
          <w:spacing w:val="-15"/>
        </w:rPr>
        <w:t>Apêndice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2: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Prática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da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Igreja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dos</w:t>
      </w:r>
      <w:r w:rsidR="00C10E43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7F23E2">
        <w:rPr>
          <w:rFonts w:ascii="Times New Roman" w:eastAsia="Times New Roman" w:hAnsi="Times New Roman" w:cs="Times New Roman"/>
          <w:b/>
          <w:bCs/>
          <w:spacing w:val="-15"/>
        </w:rPr>
        <w:t>primórdios</w:t>
      </w:r>
    </w:p>
    <w:p w14:paraId="7C16C9C8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Segundo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Novo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Testamento</w:t>
      </w:r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adultério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fornicação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comportamentos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fundamental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contraste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cristão.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Assim,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antiga,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apostasia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homicídio,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pecados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capitais,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excluíam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havia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adultério.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pensamento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vetero</w:t>
      </w:r>
      <w:proofErr w:type="spellEnd"/>
      <w:r w:rsidRPr="007F23E2">
        <w:rPr>
          <w:rFonts w:ascii="Times New Roman" w:hAnsi="Times New Roman" w:cs="Times New Roman"/>
        </w:rPr>
        <w:t>-testamentário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judaico,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fornicação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cônjuge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"contaminava"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outro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cônjuge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comunidade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Lv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18,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25,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28;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19,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29;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Dt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24,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4;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4,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s.;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1-3,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9),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base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cláusulas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adultério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Mateus,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escrevia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judaico-cristãos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</w:rPr>
        <w:t>Mt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5,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32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19,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9),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permitido,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vezes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necessário,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repudiar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adúltera.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propósito,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entanto,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início,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Padres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atribuíram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grande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importância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homem,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mulher,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valiam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direitos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deveres.</w:t>
      </w:r>
    </w:p>
    <w:p w14:paraId="1147FA0A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Porém,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possível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obter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textos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completa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clareza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prática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antiga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repúdio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adultério.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textos,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sempre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distinguem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adultério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fornicação,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bigamia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simultânea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consecutiva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depois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morte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primeiro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cônjuge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(esta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última,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debatida),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separação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morte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repúdio.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questões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exegéticas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históricas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relativas,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existem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literatura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ampla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–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quase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impossível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orientar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–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interpretações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diferentes.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Pode-se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citar,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exemplo,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lado,</w:t>
      </w:r>
      <w:r w:rsidR="00C10E43">
        <w:rPr>
          <w:rFonts w:ascii="Times New Roman" w:hAnsi="Times New Roman" w:cs="Times New Roman"/>
        </w:rPr>
        <w:t xml:space="preserve"> </w:t>
      </w:r>
      <w:r w:rsidR="00807C37" w:rsidRPr="00807C37">
        <w:rPr>
          <w:rFonts w:ascii="Times New Roman" w:hAnsi="Times New Roman" w:cs="Times New Roman"/>
          <w:b/>
          <w:bCs/>
          <w:bdr w:val="none" w:sz="0" w:space="0" w:color="auto" w:frame="1"/>
          <w:lang w:val="it-IT"/>
        </w:rPr>
        <w:t>G</w:t>
      </w:r>
      <w:r w:rsidRPr="00807C37">
        <w:rPr>
          <w:rFonts w:ascii="Times New Roman" w:hAnsi="Times New Roman" w:cs="Times New Roman"/>
          <w:b/>
          <w:bCs/>
          <w:bdr w:val="none" w:sz="0" w:space="0" w:color="auto" w:frame="1"/>
          <w:lang w:val="it-IT"/>
        </w:rPr>
        <w:t>.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  <w:lang w:val="it-IT"/>
        </w:rPr>
        <w:t xml:space="preserve"> </w:t>
      </w:r>
      <w:proofErr w:type="spellStart"/>
      <w:r w:rsidRPr="00807C37">
        <w:rPr>
          <w:rFonts w:ascii="Times New Roman" w:hAnsi="Times New Roman" w:cs="Times New Roman"/>
          <w:b/>
          <w:bCs/>
          <w:bdr w:val="none" w:sz="0" w:space="0" w:color="auto" w:frame="1"/>
          <w:lang w:val="it-IT"/>
        </w:rPr>
        <w:t>Cereti</w:t>
      </w:r>
      <w:proofErr w:type="spellEnd"/>
      <w:r w:rsidRPr="007F23E2">
        <w:rPr>
          <w:rFonts w:ascii="Times New Roman" w:hAnsi="Times New Roman" w:cs="Times New Roman"/>
          <w:lang w:val="it-IT"/>
        </w:rPr>
        <w:t>,</w:t>
      </w:r>
      <w:r w:rsidR="00C10E43">
        <w:rPr>
          <w:rFonts w:ascii="Times New Roman" w:hAnsi="Times New Roman" w:cs="Times New Roman"/>
          <w:lang w:val="it-IT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it-IT"/>
        </w:rPr>
        <w:t>Divorzio,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it-IT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it-IT"/>
        </w:rPr>
        <w:t>nuove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it-IT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it-IT"/>
        </w:rPr>
        <w:t>nozze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it-IT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it-IT"/>
        </w:rPr>
        <w:t>e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it-IT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it-IT"/>
        </w:rPr>
        <w:t>penitenza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it-IT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it-IT"/>
        </w:rPr>
        <w:t>nella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it-IT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it-IT"/>
        </w:rPr>
        <w:t>Chiesa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it-IT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it-IT"/>
        </w:rPr>
        <w:t>primitiva</w:t>
      </w:r>
      <w:r w:rsidR="00C10E43">
        <w:rPr>
          <w:rFonts w:ascii="Times New Roman" w:hAnsi="Times New Roman" w:cs="Times New Roman"/>
          <w:i/>
          <w:iCs/>
          <w:bdr w:val="none" w:sz="0" w:space="0" w:color="auto" w:frame="1"/>
          <w:lang w:val="it-IT"/>
        </w:rPr>
        <w:t xml:space="preserve"> </w:t>
      </w:r>
      <w:r w:rsidRPr="007F23E2">
        <w:rPr>
          <w:rFonts w:ascii="Times New Roman" w:hAnsi="Times New Roman" w:cs="Times New Roman"/>
        </w:rPr>
        <w:t>(Bolonha,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1977/2013</w:t>
      </w:r>
      <w:proofErr w:type="gramStart"/>
      <w:r w:rsidRPr="007F23E2">
        <w:rPr>
          <w:rFonts w:ascii="Times New Roman" w:hAnsi="Times New Roman" w:cs="Times New Roman"/>
        </w:rPr>
        <w:t>,</w:t>
      </w:r>
      <w:proofErr w:type="gramEnd"/>
      <w:r w:rsidRPr="007F23E2">
        <w:rPr>
          <w:rFonts w:ascii="Times New Roman" w:hAnsi="Times New Roman" w:cs="Times New Roman"/>
        </w:rPr>
        <w:t>)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outro,</w:t>
      </w:r>
      <w:r w:rsidR="00C10E43">
        <w:rPr>
          <w:rFonts w:ascii="Times New Roman" w:hAnsi="Times New Roman" w:cs="Times New Roman"/>
        </w:rPr>
        <w:t xml:space="preserve"> </w:t>
      </w:r>
      <w:r w:rsidRPr="00807C37">
        <w:rPr>
          <w:rFonts w:ascii="Times New Roman" w:hAnsi="Times New Roman" w:cs="Times New Roman"/>
          <w:b/>
          <w:bCs/>
          <w:bdr w:val="none" w:sz="0" w:space="0" w:color="auto" w:frame="1"/>
          <w:lang w:val="fr-FR"/>
        </w:rPr>
        <w:t>H.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  <w:lang w:val="fr-FR"/>
        </w:rPr>
        <w:t xml:space="preserve"> </w:t>
      </w:r>
      <w:proofErr w:type="spellStart"/>
      <w:r w:rsidRPr="00807C37">
        <w:rPr>
          <w:rFonts w:ascii="Times New Roman" w:hAnsi="Times New Roman" w:cs="Times New Roman"/>
          <w:b/>
          <w:bCs/>
          <w:bdr w:val="none" w:sz="0" w:space="0" w:color="auto" w:frame="1"/>
          <w:lang w:val="fr-FR"/>
        </w:rPr>
        <w:t>C</w:t>
      </w:r>
      <w:r w:rsidR="00807C37">
        <w:rPr>
          <w:rFonts w:ascii="Times New Roman" w:hAnsi="Times New Roman" w:cs="Times New Roman"/>
          <w:b/>
          <w:bCs/>
          <w:bdr w:val="none" w:sz="0" w:space="0" w:color="auto" w:frame="1"/>
          <w:lang w:val="fr-FR"/>
        </w:rPr>
        <w:t>r</w:t>
      </w:r>
      <w:r w:rsidRPr="00807C37">
        <w:rPr>
          <w:rFonts w:ascii="Times New Roman" w:hAnsi="Times New Roman" w:cs="Times New Roman"/>
          <w:b/>
          <w:bCs/>
          <w:bdr w:val="none" w:sz="0" w:space="0" w:color="auto" w:frame="1"/>
          <w:lang w:val="fr-FR"/>
        </w:rPr>
        <w:t>ouzel</w:t>
      </w:r>
      <w:proofErr w:type="spellEnd"/>
      <w:r w:rsidRPr="007F23E2">
        <w:rPr>
          <w:rFonts w:ascii="Times New Roman" w:hAnsi="Times New Roman" w:cs="Times New Roman"/>
          <w:lang w:val="fr-FR"/>
        </w:rPr>
        <w:t>,</w:t>
      </w:r>
      <w:r w:rsidR="00C10E43">
        <w:rPr>
          <w:rFonts w:ascii="Times New Roman" w:hAnsi="Times New Roman" w:cs="Times New Roman"/>
          <w:lang w:val="fr-FR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fr-FR"/>
        </w:rPr>
        <w:t>L’Eglise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fr-FR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fr-FR"/>
        </w:rPr>
        <w:t>primitive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fr-FR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fr-FR"/>
        </w:rPr>
        <w:t>face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fr-FR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fr-FR"/>
        </w:rPr>
        <w:t>au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fr-FR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fr-FR"/>
        </w:rPr>
        <w:t>divorce</w:t>
      </w:r>
      <w:r w:rsidR="00C10E43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</w:rPr>
        <w:t>(Paris,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1971)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807C37">
        <w:rPr>
          <w:rFonts w:ascii="Times New Roman" w:hAnsi="Times New Roman" w:cs="Times New Roman"/>
          <w:b/>
          <w:bCs/>
          <w:bdr w:val="none" w:sz="0" w:space="0" w:color="auto" w:frame="1"/>
          <w:lang w:val="de-DE"/>
        </w:rPr>
        <w:t>J.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  <w:lang w:val="de-DE"/>
        </w:rPr>
        <w:t xml:space="preserve"> </w:t>
      </w:r>
      <w:r w:rsidRPr="00807C37">
        <w:rPr>
          <w:rFonts w:ascii="Times New Roman" w:hAnsi="Times New Roman" w:cs="Times New Roman"/>
          <w:b/>
          <w:bCs/>
          <w:bdr w:val="none" w:sz="0" w:space="0" w:color="auto" w:frame="1"/>
          <w:lang w:val="de-DE"/>
        </w:rPr>
        <w:t>Ratzinger</w:t>
      </w:r>
      <w:r w:rsidRPr="007F23E2">
        <w:rPr>
          <w:rFonts w:ascii="Times New Roman" w:hAnsi="Times New Roman" w:cs="Times New Roman"/>
          <w:lang w:val="de-DE"/>
        </w:rPr>
        <w:t>,</w:t>
      </w:r>
      <w:r w:rsidR="00C10E43">
        <w:rPr>
          <w:rFonts w:ascii="Times New Roman" w:hAnsi="Times New Roman" w:cs="Times New Roman"/>
          <w:lang w:val="de-DE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>Zur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>Frage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>der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 xml:space="preserve"> </w:t>
      </w:r>
      <w:r w:rsidR="00807C37"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>Unauflöslichkeit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>der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>Ehe.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>Bemerkungen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>zum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>dogmen</w:t>
      </w:r>
      <w:r w:rsidR="00807C37"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>geschichtlichen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>Befund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>und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>seiner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>gegenwärtigen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>Bedeutung</w:t>
      </w:r>
      <w:proofErr w:type="gramStart"/>
      <w:r w:rsidRPr="007F23E2">
        <w:rPr>
          <w:rFonts w:ascii="Times New Roman" w:hAnsi="Times New Roman" w:cs="Times New Roman"/>
          <w:lang w:val="de-DE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</w:t>
      </w:r>
      <w:proofErr w:type="gram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Heinrich/V.</w:t>
      </w:r>
      <w:r w:rsidR="00C10E43">
        <w:rPr>
          <w:rFonts w:ascii="Times New Roman" w:hAnsi="Times New Roman" w:cs="Times New Roman"/>
        </w:rPr>
        <w:t xml:space="preserve"> </w:t>
      </w:r>
      <w:r w:rsidRPr="00807C37">
        <w:rPr>
          <w:rFonts w:ascii="Times New Roman" w:hAnsi="Times New Roman" w:cs="Times New Roman"/>
          <w:bCs/>
          <w:iCs/>
          <w:bdr w:val="none" w:sz="0" w:space="0" w:color="auto" w:frame="1"/>
          <w:lang w:val="de-DE"/>
        </w:rPr>
        <w:t>Eid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>,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>Ehe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>und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>Ehescheidung</w:t>
      </w:r>
      <w:r w:rsidR="00C10E43">
        <w:rPr>
          <w:rFonts w:ascii="Times New Roman" w:hAnsi="Times New Roman" w:cs="Times New Roman"/>
          <w:i/>
          <w:iCs/>
          <w:bdr w:val="none" w:sz="0" w:space="0" w:color="auto" w:frame="1"/>
          <w:lang w:val="de-DE"/>
        </w:rPr>
        <w:t xml:space="preserve"> </w:t>
      </w:r>
      <w:r w:rsidRPr="007F23E2">
        <w:rPr>
          <w:rFonts w:ascii="Times New Roman" w:hAnsi="Times New Roman" w:cs="Times New Roman"/>
        </w:rPr>
        <w:t>(Munique,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1972,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35-56,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simile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807C37">
        <w:rPr>
          <w:rFonts w:ascii="Times New Roman" w:hAnsi="Times New Roman" w:cs="Times New Roman"/>
          <w:b/>
          <w:bCs/>
          <w:bdr w:val="none" w:sz="0" w:space="0" w:color="auto" w:frame="1"/>
          <w:lang w:val="it-IT"/>
        </w:rPr>
        <w:t>L'Osservatore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  <w:lang w:val="it-IT"/>
        </w:rPr>
        <w:t xml:space="preserve"> </w:t>
      </w:r>
      <w:r w:rsidRPr="00807C37">
        <w:rPr>
          <w:rFonts w:ascii="Times New Roman" w:hAnsi="Times New Roman" w:cs="Times New Roman"/>
          <w:b/>
          <w:bCs/>
          <w:bdr w:val="none" w:sz="0" w:space="0" w:color="auto" w:frame="1"/>
          <w:lang w:val="it-IT"/>
        </w:rPr>
        <w:t>Romano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novembro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2011).</w:t>
      </w:r>
    </w:p>
    <w:p w14:paraId="11501931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haver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debate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algum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sobre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primórdios,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locais,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direito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consuetudinário,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havia,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depois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tempo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arrependimento,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prática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tolerância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pastoral,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clemência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indulgência.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fundo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prática,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talvez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devesse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entendido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cânone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8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Concílio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de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Niceia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(325),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voltado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rigorismo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Novaciano</w:t>
      </w:r>
      <w:proofErr w:type="spellEnd"/>
      <w:r w:rsidRPr="007F23E2">
        <w:rPr>
          <w:rFonts w:ascii="Times New Roman" w:hAnsi="Times New Roman" w:cs="Times New Roman"/>
        </w:rPr>
        <w:t>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direito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consuetudinário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expressamente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testemunhado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Orígenes</w:t>
      </w:r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considera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irrazoável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r w:rsidRPr="007F23E2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Comentário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ao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Evangelho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de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Mateus</w:t>
      </w:r>
      <w:r w:rsidR="00C10E43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</w:rPr>
        <w:t>XIV,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23).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Basílio,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o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Grande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(Carta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188,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4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199,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18),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Gregório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Nazianzeno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proofErr w:type="spellStart"/>
      <w:r w:rsidRPr="007F23E2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Oratio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37)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alguns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outros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fazem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referência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Explicam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"não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irrazoável</w:t>
      </w:r>
      <w:proofErr w:type="spellEnd"/>
      <w:r w:rsidRPr="007F23E2">
        <w:rPr>
          <w:rFonts w:ascii="Times New Roman" w:hAnsi="Times New Roman" w:cs="Times New Roman"/>
        </w:rPr>
        <w:t>"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intenção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pastoral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"evitar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pior".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latina,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autoridade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Agostinho,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prática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abandonada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favor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prática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severa.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Agostinho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porém,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passagem,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pecado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venial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</w:t>
      </w:r>
      <w:r w:rsidRPr="007F23E2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A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fé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e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as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obras</w:t>
      </w:r>
      <w:r w:rsidRPr="007F23E2">
        <w:rPr>
          <w:rFonts w:ascii="Times New Roman" w:hAnsi="Times New Roman" w:cs="Times New Roman"/>
        </w:rPr>
        <w:t>19,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35).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Portanto,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parece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excluído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partida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solução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pastoral.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seguida,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Ocidente,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difíceis,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decisões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Sínodos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similares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sempre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buscou,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encontrou,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soluções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concretas.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Concílio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de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Trento</w:t>
      </w:r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segundo</w:t>
      </w:r>
      <w:r w:rsidR="00C10E43">
        <w:rPr>
          <w:rFonts w:ascii="Times New Roman" w:hAnsi="Times New Roman" w:cs="Times New Roman"/>
        </w:rPr>
        <w:t xml:space="preserve"> </w:t>
      </w:r>
      <w:r w:rsidRPr="00807C37">
        <w:rPr>
          <w:rFonts w:ascii="Times New Roman" w:hAnsi="Times New Roman" w:cs="Times New Roman"/>
          <w:b/>
          <w:bCs/>
          <w:bdr w:val="none" w:sz="0" w:space="0" w:color="auto" w:frame="1"/>
          <w:lang w:val="de-DE"/>
        </w:rPr>
        <w:t>P.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  <w:lang w:val="de-DE"/>
        </w:rPr>
        <w:t xml:space="preserve"> </w:t>
      </w:r>
      <w:r w:rsidRPr="00807C37">
        <w:rPr>
          <w:rFonts w:ascii="Times New Roman" w:hAnsi="Times New Roman" w:cs="Times New Roman"/>
          <w:b/>
          <w:bCs/>
          <w:bdr w:val="none" w:sz="0" w:space="0" w:color="auto" w:frame="1"/>
          <w:lang w:val="de-DE"/>
        </w:rPr>
        <w:t>Fransen</w:t>
      </w:r>
      <w:r w:rsidRPr="007F23E2">
        <w:rPr>
          <w:rFonts w:ascii="Times New Roman" w:hAnsi="Times New Roman" w:cs="Times New Roman"/>
          <w:lang w:val="de-DE"/>
        </w:rPr>
        <w:t>,</w:t>
      </w:r>
      <w:r w:rsidR="00C10E43">
        <w:rPr>
          <w:rFonts w:ascii="Times New Roman" w:hAnsi="Times New Roman" w:cs="Times New Roman"/>
          <w:lang w:val="de-DE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>Das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>Thema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>“Eheseheidung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>und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>Ehebruch”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>auf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>dem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>Konzil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>von</w:t>
      </w:r>
      <w:r w:rsidR="00C10E43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 xml:space="preserve"> </w:t>
      </w:r>
      <w:r w:rsidRPr="00807C37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de-DE"/>
        </w:rPr>
        <w:t>Trient</w:t>
      </w:r>
      <w:r w:rsidR="00C10E43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 </w:t>
      </w:r>
      <w:r w:rsidRPr="007F23E2">
        <w:rPr>
          <w:rFonts w:ascii="Times New Roman" w:hAnsi="Times New Roman" w:cs="Times New Roman"/>
        </w:rPr>
        <w:t>(1563),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in: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Concilium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6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(1970)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343-348,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condenou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Lutero</w:t>
      </w:r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prática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Oriente</w:t>
      </w:r>
      <w:r w:rsidRPr="007F23E2">
        <w:rPr>
          <w:rFonts w:ascii="Times New Roman" w:hAnsi="Times New Roman" w:cs="Times New Roman"/>
        </w:rPr>
        <w:t>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H.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Jedin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substancialmente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concordou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isso.</w:t>
      </w:r>
    </w:p>
    <w:p w14:paraId="48E3322F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ortodoxas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conservaram,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conforme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vista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pastoral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tradição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primórdios,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princípio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válido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  <w:i/>
          <w:iCs/>
          <w:bdr w:val="none" w:sz="0" w:space="0" w:color="auto" w:frame="1"/>
        </w:rPr>
        <w:t>oikonomia</w:t>
      </w:r>
      <w:proofErr w:type="spellEnd"/>
      <w:r w:rsidRPr="007F23E2">
        <w:rPr>
          <w:rFonts w:ascii="Times New Roman" w:hAnsi="Times New Roman" w:cs="Times New Roman"/>
        </w:rPr>
        <w:t>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partir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século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porém,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fazendo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referência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direito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imperial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bizantino,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foram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além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tolerância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pastoral,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clemência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indulgência,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reconhecendo,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junto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cláusulas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adultério,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outros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motivos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divórcio,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partem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morte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moral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só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física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vínculo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matrimonial.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Ocidente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seguiu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outro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percurso.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Ela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exclui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dissolução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sacramental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entre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batizados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ratificado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consumado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(CIC,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cân</w:t>
      </w:r>
      <w:proofErr w:type="spellEnd"/>
      <w:r w:rsidRPr="007F23E2">
        <w:rPr>
          <w:rFonts w:ascii="Times New Roman" w:hAnsi="Times New Roman" w:cs="Times New Roman"/>
        </w:rPr>
        <w:t>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1.141),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conhece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divórcio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consumado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(CIC,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cân</w:t>
      </w:r>
      <w:proofErr w:type="spellEnd"/>
      <w:r w:rsidRPr="007F23E2">
        <w:rPr>
          <w:rFonts w:ascii="Times New Roman" w:hAnsi="Times New Roman" w:cs="Times New Roman"/>
        </w:rPr>
        <w:t>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1.142),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assim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pelo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privilégio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paulino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petrino</w:t>
      </w:r>
      <w:proofErr w:type="spellEnd"/>
      <w:r w:rsidRPr="007F23E2">
        <w:rPr>
          <w:rFonts w:ascii="Times New Roman" w:hAnsi="Times New Roman" w:cs="Times New Roman"/>
        </w:rPr>
        <w:t>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matrimônios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sacramentais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(CIC,</w:t>
      </w:r>
      <w:r w:rsidR="00C10E43">
        <w:rPr>
          <w:rFonts w:ascii="Times New Roman" w:hAnsi="Times New Roman" w:cs="Times New Roman"/>
        </w:rPr>
        <w:t xml:space="preserve"> </w:t>
      </w:r>
      <w:proofErr w:type="spellStart"/>
      <w:r w:rsidRPr="007F23E2">
        <w:rPr>
          <w:rFonts w:ascii="Times New Roman" w:hAnsi="Times New Roman" w:cs="Times New Roman"/>
        </w:rPr>
        <w:t>cân</w:t>
      </w:r>
      <w:proofErr w:type="spellEnd"/>
      <w:r w:rsidRPr="007F23E2">
        <w:rPr>
          <w:rFonts w:ascii="Times New Roman" w:hAnsi="Times New Roman" w:cs="Times New Roman"/>
        </w:rPr>
        <w:t>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1.143).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lado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disso,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há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declarações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nulidade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vício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forma;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propósito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poderíamos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perguntar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primeiro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lugar,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unilateral,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pontos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vista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jurídicos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historicamente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muito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tardios.</w:t>
      </w:r>
    </w:p>
    <w:p w14:paraId="4F09168E" w14:textId="77777777" w:rsidR="007F23E2" w:rsidRPr="007F23E2" w:rsidRDefault="007F23E2" w:rsidP="007F23E2">
      <w:pPr>
        <w:shd w:val="clear" w:color="auto" w:fill="FFFFFF"/>
        <w:spacing w:line="234" w:lineRule="atLeast"/>
        <w:jc w:val="both"/>
        <w:rPr>
          <w:rFonts w:ascii="Times New Roman" w:hAnsi="Times New Roman" w:cs="Times New Roman"/>
        </w:rPr>
      </w:pP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J.</w:t>
      </w:r>
      <w:r w:rsidR="00C10E43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Ratzinger</w:t>
      </w:r>
      <w:proofErr w:type="spellEnd"/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sugeriu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retomasse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modo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novo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posição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  <w:b/>
          <w:bCs/>
          <w:bdr w:val="none" w:sz="0" w:space="0" w:color="auto" w:frame="1"/>
        </w:rPr>
        <w:t>Basílio</w:t>
      </w:r>
      <w:r w:rsidRPr="007F23E2">
        <w:rPr>
          <w:rFonts w:ascii="Times New Roman" w:hAnsi="Times New Roman" w:cs="Times New Roman"/>
        </w:rPr>
        <w:t>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Pareceria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solução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apropriada,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também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está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base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destas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minhas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reflexões.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fazer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referência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uma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outra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interpretação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histórica,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continua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sempre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controversa,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nem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mesmo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replicar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simplesmente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soluções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Igreja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primórdios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nossa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situação,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completamente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diversa.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mudada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situação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atual,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porém,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podemos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retomar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conceitos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base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buscar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realizá-los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presente,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forma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que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é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justa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oportuna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à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luz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do</w:t>
      </w:r>
      <w:r w:rsidR="00C10E43">
        <w:rPr>
          <w:rFonts w:ascii="Times New Roman" w:hAnsi="Times New Roman" w:cs="Times New Roman"/>
        </w:rPr>
        <w:t xml:space="preserve"> </w:t>
      </w:r>
      <w:r w:rsidRPr="007F23E2">
        <w:rPr>
          <w:rFonts w:ascii="Times New Roman" w:hAnsi="Times New Roman" w:cs="Times New Roman"/>
        </w:rPr>
        <w:t>Evangelho.</w:t>
      </w:r>
    </w:p>
    <w:p w14:paraId="2AB32B7D" w14:textId="77777777" w:rsidR="002A1980" w:rsidRPr="007F23E2" w:rsidRDefault="002A1980" w:rsidP="007F23E2">
      <w:pPr>
        <w:jc w:val="both"/>
        <w:rPr>
          <w:rFonts w:ascii="Times New Roman" w:hAnsi="Times New Roman" w:cs="Times New Roman"/>
        </w:rPr>
      </w:pPr>
    </w:p>
    <w:sectPr w:rsidR="002A1980" w:rsidRPr="007F23E2" w:rsidSect="007F23E2">
      <w:headerReference w:type="even" r:id="rId8"/>
      <w:headerReference w:type="default" r:id="rId9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A2CDB" w14:textId="77777777" w:rsidR="00DC61F5" w:rsidRDefault="00DC61F5" w:rsidP="007F23E2">
      <w:r>
        <w:separator/>
      </w:r>
    </w:p>
  </w:endnote>
  <w:endnote w:type="continuationSeparator" w:id="0">
    <w:p w14:paraId="01B024F9" w14:textId="77777777" w:rsidR="00DC61F5" w:rsidRDefault="00DC61F5" w:rsidP="007F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83573" w14:textId="77777777" w:rsidR="00DC61F5" w:rsidRDefault="00DC61F5" w:rsidP="007F23E2">
      <w:r>
        <w:separator/>
      </w:r>
    </w:p>
  </w:footnote>
  <w:footnote w:type="continuationSeparator" w:id="0">
    <w:p w14:paraId="320F7160" w14:textId="77777777" w:rsidR="00DC61F5" w:rsidRDefault="00DC61F5" w:rsidP="007F23E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58966" w14:textId="77777777" w:rsidR="00DC61F5" w:rsidRDefault="00DC61F5" w:rsidP="00807C3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94D396" w14:textId="77777777" w:rsidR="00DC61F5" w:rsidRDefault="00DC61F5" w:rsidP="007F23E2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3984F" w14:textId="77777777" w:rsidR="00DC61F5" w:rsidRDefault="00DC61F5" w:rsidP="00807C3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0E43">
      <w:rPr>
        <w:rStyle w:val="PageNumber"/>
        <w:noProof/>
      </w:rPr>
      <w:t>15</w:t>
    </w:r>
    <w:r>
      <w:rPr>
        <w:rStyle w:val="PageNumber"/>
      </w:rPr>
      <w:fldChar w:fldCharType="end"/>
    </w:r>
  </w:p>
  <w:p w14:paraId="0C36C447" w14:textId="77777777" w:rsidR="00DC61F5" w:rsidRDefault="00DC61F5" w:rsidP="007F23E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E2"/>
    <w:rsid w:val="002A1980"/>
    <w:rsid w:val="007F23E2"/>
    <w:rsid w:val="00807C37"/>
    <w:rsid w:val="00C10E43"/>
    <w:rsid w:val="00DC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E07E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F23E2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23E2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F23E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F23E2"/>
  </w:style>
  <w:style w:type="character" w:styleId="Strong">
    <w:name w:val="Strong"/>
    <w:basedOn w:val="DefaultParagraphFont"/>
    <w:uiPriority w:val="22"/>
    <w:qFormat/>
    <w:rsid w:val="007F23E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F23E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F23E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3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3E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23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3E2"/>
  </w:style>
  <w:style w:type="paragraph" w:styleId="Footer">
    <w:name w:val="footer"/>
    <w:basedOn w:val="Normal"/>
    <w:link w:val="FooterChar"/>
    <w:uiPriority w:val="99"/>
    <w:unhideWhenUsed/>
    <w:rsid w:val="007F23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3E2"/>
  </w:style>
  <w:style w:type="character" w:styleId="PageNumber">
    <w:name w:val="page number"/>
    <w:basedOn w:val="DefaultParagraphFont"/>
    <w:uiPriority w:val="99"/>
    <w:semiHidden/>
    <w:unhideWhenUsed/>
    <w:rsid w:val="007F23E2"/>
  </w:style>
  <w:style w:type="paragraph" w:styleId="DocumentMap">
    <w:name w:val="Document Map"/>
    <w:basedOn w:val="Normal"/>
    <w:link w:val="DocumentMapChar"/>
    <w:uiPriority w:val="99"/>
    <w:semiHidden/>
    <w:unhideWhenUsed/>
    <w:rsid w:val="00C10E43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0E43"/>
    <w:rPr>
      <w:rFonts w:ascii="Lucida Grande" w:hAnsi="Lucida Grande" w:cs="Lucida Gran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F23E2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23E2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F23E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F23E2"/>
  </w:style>
  <w:style w:type="character" w:styleId="Strong">
    <w:name w:val="Strong"/>
    <w:basedOn w:val="DefaultParagraphFont"/>
    <w:uiPriority w:val="22"/>
    <w:qFormat/>
    <w:rsid w:val="007F23E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F23E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F23E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3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3E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23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3E2"/>
  </w:style>
  <w:style w:type="paragraph" w:styleId="Footer">
    <w:name w:val="footer"/>
    <w:basedOn w:val="Normal"/>
    <w:link w:val="FooterChar"/>
    <w:uiPriority w:val="99"/>
    <w:unhideWhenUsed/>
    <w:rsid w:val="007F23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3E2"/>
  </w:style>
  <w:style w:type="character" w:styleId="PageNumber">
    <w:name w:val="page number"/>
    <w:basedOn w:val="DefaultParagraphFont"/>
    <w:uiPriority w:val="99"/>
    <w:semiHidden/>
    <w:unhideWhenUsed/>
    <w:rsid w:val="007F23E2"/>
  </w:style>
  <w:style w:type="paragraph" w:styleId="DocumentMap">
    <w:name w:val="Document Map"/>
    <w:basedOn w:val="Normal"/>
    <w:link w:val="DocumentMapChar"/>
    <w:uiPriority w:val="99"/>
    <w:semiHidden/>
    <w:unhideWhenUsed/>
    <w:rsid w:val="00C10E43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0E43"/>
    <w:rPr>
      <w:rFonts w:ascii="Lucida Grande" w:hAnsi="Lucida Grande" w:cs="Lucida Gran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7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google.com/url?q=http://www.ihu.unisinos.br/noticias/524007-a-igreja-hospital-de-campanha-artigo-de-massimo-faggioli&amp;sa=U&amp;ei=uKMSU5mQBYTw0QG5_IGIBw&amp;ved=0CAYQFjAA&amp;client=internal-uds-cse&amp;usg=AFQjCNF379I9vOrlO4rChQWp5IYqGAf40Q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18</Pages>
  <Words>9712</Words>
  <Characters>55364</Characters>
  <Application>Microsoft Macintosh Word</Application>
  <DocSecurity>0</DocSecurity>
  <Lines>461</Lines>
  <Paragraphs>129</Paragraphs>
  <ScaleCrop>false</ScaleCrop>
  <Company>Arquidiocese de Cuiabá</Company>
  <LinksUpToDate>false</LinksUpToDate>
  <CharactersWithSpaces>64947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Ricardo de Azevedo Júnior</dc:creator>
  <cp:keywords/>
  <dc:description/>
  <cp:lastModifiedBy>Paulo Ricardo de Azevedo Júnior</cp:lastModifiedBy>
  <cp:revision>2</cp:revision>
  <dcterms:created xsi:type="dcterms:W3CDTF">2014-03-24T14:01:00Z</dcterms:created>
  <dcterms:modified xsi:type="dcterms:W3CDTF">2014-03-24T22:30:00Z</dcterms:modified>
</cp:coreProperties>
</file>